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highlight w:val="none"/>
          <w:lang w:val="zh-CN"/>
        </w:rPr>
      </w:pPr>
      <w:bookmarkStart w:id="0" w:name="_Toc14671"/>
      <w:r>
        <w:rPr>
          <w:rFonts w:hint="eastAsia" w:ascii="宋体" w:hAnsi="宋体" w:cs="宋体"/>
          <w:b/>
          <w:sz w:val="32"/>
          <w:szCs w:val="32"/>
          <w:highlight w:val="none"/>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17641"/>
      <w:bookmarkStart w:id="2" w:name="_Toc54941340"/>
      <w:r>
        <w:rPr>
          <w:rFonts w:hint="eastAsia" w:ascii="宋体" w:hAnsi="宋体" w:cs="宋体"/>
          <w:b w:val="0"/>
          <w:bCs w:val="0"/>
          <w:highlight w:val="none"/>
          <w:lang w:val="en-US" w:eastAsia="zh-CN"/>
        </w:rPr>
        <w:t>根据《政府采购</w:t>
      </w:r>
      <w:bookmarkStart w:id="5" w:name="_GoBack"/>
      <w:bookmarkEnd w:id="5"/>
      <w:r>
        <w:rPr>
          <w:rFonts w:hint="eastAsia" w:ascii="宋体" w:hAnsi="宋体" w:cs="宋体"/>
          <w:b w:val="0"/>
          <w:bCs w:val="0"/>
          <w:highlight w:val="none"/>
          <w:lang w:val="en-US" w:eastAsia="zh-CN"/>
        </w:rPr>
        <w:t>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widowControl/>
        <w:numPr>
          <w:ilvl w:val="0"/>
          <w:numId w:val="5"/>
        </w:numPr>
        <w:spacing w:line="360" w:lineRule="auto"/>
        <w:ind w:left="210" w:leftChars="0" w:firstLineChars="0"/>
        <w:jc w:val="left"/>
        <w:rPr>
          <w:rFonts w:hint="eastAsia"/>
          <w:b/>
          <w:bCs/>
          <w:highlight w:val="none"/>
        </w:rPr>
      </w:pPr>
      <w:r>
        <w:rPr>
          <w:rFonts w:hint="eastAsia"/>
          <w:b/>
          <w:bCs/>
          <w:highlight w:val="none"/>
        </w:rPr>
        <w:t>货物需求一览表</w:t>
      </w:r>
    </w:p>
    <w:tbl>
      <w:tblPr>
        <w:tblStyle w:val="62"/>
        <w:tblW w:w="9839" w:type="dxa"/>
        <w:jc w:val="center"/>
        <w:tblLayout w:type="fixed"/>
        <w:tblCellMar>
          <w:top w:w="0" w:type="dxa"/>
          <w:left w:w="108" w:type="dxa"/>
          <w:bottom w:w="0" w:type="dxa"/>
          <w:right w:w="108" w:type="dxa"/>
        </w:tblCellMar>
      </w:tblPr>
      <w:tblGrid>
        <w:gridCol w:w="427"/>
        <w:gridCol w:w="1362"/>
        <w:gridCol w:w="5058"/>
        <w:gridCol w:w="468"/>
        <w:gridCol w:w="504"/>
        <w:gridCol w:w="1236"/>
        <w:gridCol w:w="784"/>
      </w:tblGrid>
      <w:tr>
        <w:tblPrEx>
          <w:tblCellMar>
            <w:top w:w="0" w:type="dxa"/>
            <w:left w:w="108" w:type="dxa"/>
            <w:bottom w:w="0" w:type="dxa"/>
            <w:right w:w="108" w:type="dxa"/>
          </w:tblCellMar>
        </w:tblPrEx>
        <w:trPr>
          <w:trHeight w:val="634" w:hRule="atLeast"/>
          <w:jc w:val="center"/>
        </w:trPr>
        <w:tc>
          <w:tcPr>
            <w:tcW w:w="4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highlight w:val="none"/>
              </w:rPr>
            </w:pPr>
            <w:bookmarkStart w:id="3" w:name="_Hlk106267351"/>
            <w:bookmarkStart w:id="4" w:name="_Hlk96158360"/>
            <w:r>
              <w:rPr>
                <w:rFonts w:hint="eastAsia" w:ascii="宋体" w:hAnsi="宋体" w:cs="宋体"/>
                <w:b/>
                <w:bCs/>
                <w:color w:val="000000"/>
                <w:kern w:val="0"/>
                <w:sz w:val="21"/>
                <w:szCs w:val="21"/>
                <w:highlight w:val="none"/>
                <w:lang w:val="en-US" w:eastAsia="zh-CN" w:bidi="ar"/>
              </w:rPr>
              <w:t>序</w:t>
            </w:r>
            <w:r>
              <w:rPr>
                <w:rFonts w:hint="eastAsia" w:ascii="宋体" w:hAnsi="宋体" w:eastAsia="宋体" w:cs="宋体"/>
                <w:b/>
                <w:bCs/>
                <w:color w:val="000000"/>
                <w:kern w:val="0"/>
                <w:sz w:val="21"/>
                <w:szCs w:val="21"/>
                <w:highlight w:val="none"/>
                <w:lang w:bidi="ar"/>
              </w:rPr>
              <w:t>号</w:t>
            </w:r>
          </w:p>
        </w:tc>
        <w:tc>
          <w:tcPr>
            <w:tcW w:w="136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名称</w:t>
            </w:r>
          </w:p>
        </w:tc>
        <w:tc>
          <w:tcPr>
            <w:tcW w:w="50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bidi="ar"/>
              </w:rPr>
              <w:t>技术参数</w:t>
            </w:r>
          </w:p>
        </w:tc>
        <w:tc>
          <w:tcPr>
            <w:tcW w:w="46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单位</w:t>
            </w:r>
          </w:p>
        </w:tc>
        <w:tc>
          <w:tcPr>
            <w:tcW w:w="50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highlight w:val="none"/>
              </w:rPr>
            </w:pPr>
            <w:r>
              <w:rPr>
                <w:rFonts w:hint="eastAsia" w:ascii="宋体" w:hAnsi="宋体" w:cs="宋体"/>
                <w:b/>
                <w:bCs/>
                <w:color w:val="000000"/>
                <w:kern w:val="0"/>
                <w:sz w:val="21"/>
                <w:szCs w:val="21"/>
                <w:highlight w:val="none"/>
                <w:lang w:val="en-US" w:eastAsia="zh-CN" w:bidi="ar"/>
              </w:rPr>
              <w:t>数</w:t>
            </w:r>
            <w:r>
              <w:rPr>
                <w:rFonts w:hint="eastAsia" w:ascii="宋体" w:hAnsi="宋体" w:eastAsia="宋体" w:cs="宋体"/>
                <w:b/>
                <w:bCs/>
                <w:color w:val="000000"/>
                <w:kern w:val="0"/>
                <w:sz w:val="21"/>
                <w:szCs w:val="21"/>
                <w:highlight w:val="none"/>
                <w:lang w:bidi="ar"/>
              </w:rPr>
              <w:t>量</w:t>
            </w:r>
          </w:p>
        </w:tc>
        <w:tc>
          <w:tcPr>
            <w:tcW w:w="123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lang w:val="en-US" w:eastAsia="zh-CN" w:bidi="ar"/>
              </w:rPr>
              <w:t>单价最高限价</w:t>
            </w:r>
            <w:r>
              <w:rPr>
                <w:rFonts w:hint="eastAsia" w:ascii="宋体" w:hAnsi="宋体" w:cs="宋体"/>
                <w:b/>
                <w:bCs/>
                <w:color w:val="000000"/>
                <w:kern w:val="0"/>
                <w:sz w:val="21"/>
                <w:szCs w:val="21"/>
                <w:highlight w:val="none"/>
                <w:lang w:val="en-US" w:eastAsia="zh-CN" w:bidi="ar"/>
              </w:rPr>
              <w:t>（元）</w:t>
            </w:r>
          </w:p>
        </w:tc>
        <w:tc>
          <w:tcPr>
            <w:tcW w:w="78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备注</w:t>
            </w:r>
          </w:p>
        </w:tc>
      </w:tr>
      <w:tr>
        <w:tblPrEx>
          <w:tblCellMar>
            <w:top w:w="0" w:type="dxa"/>
            <w:left w:w="108" w:type="dxa"/>
            <w:bottom w:w="0" w:type="dxa"/>
            <w:right w:w="108" w:type="dxa"/>
          </w:tblCellMar>
        </w:tblPrEx>
        <w:trPr>
          <w:trHeight w:val="510" w:hRule="atLeast"/>
          <w:jc w:val="center"/>
        </w:trPr>
        <w:tc>
          <w:tcPr>
            <w:tcW w:w="427"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sz w:val="20"/>
                <w:szCs w:val="20"/>
                <w:highlight w:val="none"/>
                <w:lang w:val="en-US" w:eastAsia="zh-CN"/>
              </w:rPr>
              <w:t>1</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highlight w:val="none"/>
                <w:lang w:val="en-US" w:eastAsia="zh-CN"/>
              </w:rPr>
            </w:pPr>
            <w:r>
              <w:rPr>
                <w:rFonts w:hint="eastAsia" w:ascii="宋体" w:hAnsi="宋体" w:cs="宋体"/>
                <w:i w:val="0"/>
                <w:iCs w:val="0"/>
                <w:color w:val="000000"/>
                <w:kern w:val="0"/>
                <w:sz w:val="21"/>
                <w:szCs w:val="21"/>
                <w:highlight w:val="none"/>
                <w:u w:val="none"/>
                <w:lang w:val="en-US" w:eastAsia="zh-CN" w:bidi="ar"/>
              </w:rPr>
              <w:t>紫外负离子皮肤治疗仪</w:t>
            </w:r>
          </w:p>
        </w:tc>
        <w:tc>
          <w:tcPr>
            <w:tcW w:w="5058"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1.功耗                750VA</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2.紫外线中心波长在 200nm～280nm 范围内，峰值波长为 253.7±3nm</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3.紫外线强度        1μw/cm²～5μw/cm²</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4.负离子浓度        ≥3×10</w:t>
            </w:r>
            <w:r>
              <w:rPr>
                <w:rFonts w:hint="eastAsia" w:ascii="宋体" w:hAnsi="宋体" w:cs="宋体"/>
                <w:i w:val="0"/>
                <w:iCs w:val="0"/>
                <w:color w:val="000000"/>
                <w:kern w:val="0"/>
                <w:sz w:val="21"/>
                <w:szCs w:val="21"/>
                <w:highlight w:val="none"/>
                <w:u w:val="none"/>
                <w:vertAlign w:val="superscript"/>
                <w:lang w:val="en-US" w:eastAsia="zh-CN" w:bidi="ar"/>
              </w:rPr>
              <w:t>5</w:t>
            </w:r>
            <w:r>
              <w:rPr>
                <w:rFonts w:hint="eastAsia" w:ascii="宋体" w:hAnsi="宋体" w:cs="宋体"/>
                <w:i w:val="0"/>
                <w:iCs w:val="0"/>
                <w:color w:val="000000"/>
                <w:kern w:val="0"/>
                <w:sz w:val="21"/>
                <w:szCs w:val="21"/>
                <w:highlight w:val="none"/>
                <w:u w:val="none"/>
                <w:lang w:val="en-US" w:eastAsia="zh-CN" w:bidi="ar"/>
              </w:rPr>
              <w:t>个/ cm</w:t>
            </w:r>
            <w:r>
              <w:rPr>
                <w:rFonts w:hint="eastAsia" w:ascii="宋体" w:hAnsi="宋体" w:cs="宋体"/>
                <w:i w:val="0"/>
                <w:iCs w:val="0"/>
                <w:color w:val="000000"/>
                <w:kern w:val="0"/>
                <w:sz w:val="21"/>
                <w:szCs w:val="21"/>
                <w:highlight w:val="none"/>
                <w:u w:val="none"/>
                <w:vertAlign w:val="superscript"/>
                <w:lang w:val="en-US" w:eastAsia="zh-CN" w:bidi="ar"/>
              </w:rPr>
              <w:t>3</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 xml:space="preserve">5.喷雾温度          距离喷雾口300mm处温度≤50℃          </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6.喷雾距离          大于300mm</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 xml:space="preserve">7.喷筒可调节角度     可调节的角度≥20° </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8.臭氧浓度</w:t>
            </w:r>
            <w:r>
              <w:rPr>
                <w:rFonts w:hint="eastAsia" w:ascii="宋体" w:hAnsi="宋体" w:cs="宋体"/>
                <w:i w:val="0"/>
                <w:iCs w:val="0"/>
                <w:color w:val="000000"/>
                <w:kern w:val="0"/>
                <w:sz w:val="21"/>
                <w:szCs w:val="21"/>
                <w:highlight w:val="none"/>
                <w:u w:val="none"/>
                <w:lang w:val="en-US" w:eastAsia="zh-CN" w:bidi="ar"/>
              </w:rPr>
              <w:tab/>
            </w:r>
            <w:r>
              <w:rPr>
                <w:rFonts w:hint="eastAsia" w:ascii="宋体" w:hAnsi="宋体" w:cs="宋体"/>
                <w:i w:val="0"/>
                <w:iCs w:val="0"/>
                <w:color w:val="000000"/>
                <w:kern w:val="0"/>
                <w:sz w:val="21"/>
                <w:szCs w:val="21"/>
                <w:highlight w:val="none"/>
                <w:u w:val="none"/>
                <w:lang w:val="en-US" w:eastAsia="zh-CN" w:bidi="ar"/>
              </w:rPr>
              <w:t xml:space="preserve">        ＜2.0g/m</w:t>
            </w:r>
            <w:r>
              <w:rPr>
                <w:rFonts w:hint="eastAsia" w:ascii="宋体" w:hAnsi="宋体" w:cs="宋体"/>
                <w:i w:val="0"/>
                <w:iCs w:val="0"/>
                <w:color w:val="000000"/>
                <w:kern w:val="0"/>
                <w:sz w:val="21"/>
                <w:szCs w:val="21"/>
                <w:highlight w:val="none"/>
                <w:u w:val="none"/>
                <w:vertAlign w:val="superscript"/>
                <w:lang w:val="en-US" w:eastAsia="zh-CN" w:bidi="ar"/>
              </w:rPr>
              <w:t>3</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9.外观：皮肤治疗仪的机箱为白色喷漆件或塑料件，表面整洁，无器械损伤、明显划痕等缺陷，标记清晰可见，操作和调节机构灵活、可靠，紧固件无松动；</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10.皮肤治疗仪定时误差不大于设定值的±2%；</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11.在正常工作状态下，紫外辐射源不会出现肉眼可察觉的闪烁现象；</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12.在工作状态时，噪声应低于55dB（A）；</w:t>
            </w:r>
          </w:p>
          <w:p>
            <w:pPr>
              <w:keepNext w:val="0"/>
              <w:keepLines w:val="0"/>
              <w:widowControl/>
              <w:suppressLineNumbers w:val="0"/>
              <w:spacing w:line="360" w:lineRule="auto"/>
              <w:jc w:val="left"/>
              <w:textAlignment w:val="center"/>
              <w:rPr>
                <w:rFonts w:hint="default" w:ascii="宋体" w:hAnsi="宋体" w:eastAsia="宋体" w:cs="宋体"/>
                <w:sz w:val="21"/>
                <w:szCs w:val="24"/>
                <w:highlight w:val="none"/>
                <w:lang w:val="en-US" w:eastAsia="zh-CN"/>
              </w:rPr>
            </w:pPr>
            <w:r>
              <w:rPr>
                <w:rFonts w:hint="eastAsia" w:ascii="宋体" w:hAnsi="宋体" w:cs="宋体"/>
                <w:i w:val="0"/>
                <w:iCs w:val="0"/>
                <w:color w:val="000000"/>
                <w:kern w:val="0"/>
                <w:sz w:val="21"/>
                <w:szCs w:val="21"/>
                <w:highlight w:val="none"/>
                <w:u w:val="none"/>
                <w:lang w:val="en-US" w:eastAsia="zh-CN" w:bidi="ar"/>
              </w:rPr>
              <w:t>13.有效紫外辐射：皮肤治疗仪的紫外线强度1μw/cm</w:t>
            </w:r>
            <w:r>
              <w:rPr>
                <w:rFonts w:hint="eastAsia" w:ascii="宋体" w:hAnsi="宋体" w:cs="宋体"/>
                <w:i w:val="0"/>
                <w:iCs w:val="0"/>
                <w:color w:val="000000"/>
                <w:kern w:val="0"/>
                <w:sz w:val="21"/>
                <w:szCs w:val="21"/>
                <w:highlight w:val="none"/>
                <w:u w:val="none"/>
                <w:vertAlign w:val="superscript"/>
                <w:lang w:val="en-US" w:eastAsia="zh-CN" w:bidi="ar"/>
              </w:rPr>
              <w:t>2</w:t>
            </w:r>
            <w:r>
              <w:rPr>
                <w:rFonts w:hint="eastAsia" w:ascii="宋体" w:hAnsi="宋体" w:cs="宋体"/>
                <w:i w:val="0"/>
                <w:iCs w:val="0"/>
                <w:color w:val="000000"/>
                <w:kern w:val="0"/>
                <w:sz w:val="21"/>
                <w:szCs w:val="21"/>
                <w:highlight w:val="none"/>
                <w:u w:val="none"/>
                <w:lang w:val="en-US" w:eastAsia="zh-CN" w:bidi="ar"/>
              </w:rPr>
              <w:t>～5μw/cm</w:t>
            </w:r>
            <w:r>
              <w:rPr>
                <w:rFonts w:hint="eastAsia" w:ascii="宋体" w:hAnsi="宋体" w:cs="宋体"/>
                <w:i w:val="0"/>
                <w:iCs w:val="0"/>
                <w:color w:val="000000"/>
                <w:kern w:val="0"/>
                <w:sz w:val="21"/>
                <w:szCs w:val="21"/>
                <w:highlight w:val="none"/>
                <w:u w:val="none"/>
                <w:vertAlign w:val="superscript"/>
                <w:lang w:val="en-US" w:eastAsia="zh-CN" w:bidi="ar"/>
              </w:rPr>
              <w:t>2</w:t>
            </w:r>
            <w:r>
              <w:rPr>
                <w:rFonts w:hint="eastAsia" w:ascii="宋体" w:hAnsi="宋体" w:cs="宋体"/>
                <w:i w:val="0"/>
                <w:iCs w:val="0"/>
                <w:color w:val="000000"/>
                <w:kern w:val="0"/>
                <w:sz w:val="21"/>
                <w:szCs w:val="21"/>
                <w:highlight w:val="none"/>
                <w:u w:val="none"/>
                <w:lang w:val="en-US" w:eastAsia="zh-CN" w:bidi="ar"/>
              </w:rPr>
              <w:t>。对于UVC波段，紫外辐射强度误差不大于20%，紫外辐照剂量误差不大于±20%，最大不大于2J/cm</w:t>
            </w:r>
            <w:r>
              <w:rPr>
                <w:rFonts w:hint="eastAsia" w:ascii="宋体" w:hAnsi="宋体" w:cs="宋体"/>
                <w:i w:val="0"/>
                <w:iCs w:val="0"/>
                <w:color w:val="000000"/>
                <w:kern w:val="0"/>
                <w:sz w:val="21"/>
                <w:szCs w:val="21"/>
                <w:highlight w:val="none"/>
                <w:u w:val="none"/>
                <w:vertAlign w:val="superscript"/>
                <w:lang w:val="en-US" w:eastAsia="zh-CN" w:bidi="ar"/>
              </w:rPr>
              <w:t>2</w:t>
            </w:r>
            <w:r>
              <w:rPr>
                <w:rFonts w:hint="eastAsia" w:ascii="宋体" w:hAnsi="宋体" w:cs="宋体"/>
                <w:i w:val="0"/>
                <w:iCs w:val="0"/>
                <w:color w:val="000000"/>
                <w:kern w:val="0"/>
                <w:sz w:val="21"/>
                <w:szCs w:val="21"/>
                <w:highlight w:val="none"/>
                <w:u w:val="none"/>
                <w:lang w:val="en-US" w:eastAsia="zh-CN" w:bidi="ar"/>
              </w:rPr>
              <w:t>；紫外辐照强度均匀性不大于±25%，稳定性不大于5%。</w:t>
            </w:r>
          </w:p>
        </w:tc>
        <w:tc>
          <w:tcPr>
            <w:tcW w:w="468"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highlight w:val="none"/>
              </w:rPr>
            </w:pPr>
            <w:r>
              <w:rPr>
                <w:rFonts w:hint="eastAsia" w:ascii="宋体" w:hAnsi="宋体" w:cs="宋体"/>
                <w:i w:val="0"/>
                <w:iCs w:val="0"/>
                <w:color w:val="000000"/>
                <w:kern w:val="0"/>
                <w:sz w:val="21"/>
                <w:szCs w:val="21"/>
                <w:highlight w:val="none"/>
                <w:u w:val="none"/>
                <w:lang w:val="en-US" w:eastAsia="zh-CN" w:bidi="ar"/>
              </w:rPr>
              <w:t>台</w:t>
            </w:r>
          </w:p>
        </w:tc>
        <w:tc>
          <w:tcPr>
            <w:tcW w:w="50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highlight w:val="none"/>
                <w:lang w:val="en-US" w:eastAsia="zh-CN"/>
              </w:rPr>
            </w:pPr>
            <w:r>
              <w:rPr>
                <w:rFonts w:hint="eastAsia" w:ascii="宋体" w:hAnsi="宋体" w:cs="宋体"/>
                <w:i w:val="0"/>
                <w:iCs w:val="0"/>
                <w:color w:val="000000"/>
                <w:kern w:val="0"/>
                <w:sz w:val="21"/>
                <w:szCs w:val="21"/>
                <w:highlight w:val="none"/>
                <w:u w:val="none"/>
                <w:lang w:val="en-US" w:eastAsia="zh-CN" w:bidi="ar"/>
              </w:rPr>
              <w:t>2</w:t>
            </w:r>
          </w:p>
        </w:tc>
        <w:tc>
          <w:tcPr>
            <w:tcW w:w="123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highlight w:val="none"/>
                <w:lang w:val="en-US" w:eastAsia="zh-Hans"/>
              </w:rPr>
            </w:pPr>
            <w:r>
              <w:rPr>
                <w:rFonts w:hint="eastAsia" w:ascii="宋体" w:hAnsi="宋体" w:cs="宋体"/>
                <w:i w:val="0"/>
                <w:iCs w:val="0"/>
                <w:color w:val="000000"/>
                <w:kern w:val="0"/>
                <w:sz w:val="21"/>
                <w:szCs w:val="21"/>
                <w:highlight w:val="none"/>
                <w:u w:val="none"/>
                <w:lang w:val="en-US" w:eastAsia="zh-CN" w:bidi="ar"/>
              </w:rPr>
              <w:t>6万</w:t>
            </w:r>
          </w:p>
        </w:tc>
        <w:tc>
          <w:tcPr>
            <w:tcW w:w="784"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highlight w:val="none"/>
                <w:lang w:val="en-US" w:eastAsia="zh-CN"/>
              </w:rPr>
            </w:pP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eastAsia="宋体" w:cs="宋体"/>
                <w:highlight w:val="none"/>
              </w:rPr>
              <w:t>的</w:t>
            </w:r>
            <w:r>
              <w:rPr>
                <w:rFonts w:hint="eastAsia" w:ascii="宋体" w:hAnsi="宋体" w:cs="宋体"/>
                <w:highlight w:val="none"/>
                <w:lang w:val="en-US" w:eastAsia="zh-CN"/>
              </w:rPr>
              <w:t>投标文件</w:t>
            </w:r>
            <w:r>
              <w:rPr>
                <w:rFonts w:hint="eastAsia" w:ascii="宋体" w:hAnsi="宋体" w:eastAsia="宋体" w:cs="宋体"/>
                <w:highlight w:val="none"/>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lang w:val="en-US" w:eastAsia="zh-CN"/>
              </w:rPr>
            </w:pPr>
            <w:r>
              <w:rPr>
                <w:rFonts w:hint="eastAsia" w:ascii="宋体" w:hAnsi="宋体" w:cs="宋体"/>
                <w:highlight w:val="none"/>
                <w:lang w:val="en-US" w:eastAsia="zh-CN"/>
              </w:rPr>
              <w:t>2.供货、安装、调试期</w:t>
            </w:r>
            <w:r>
              <w:rPr>
                <w:rFonts w:hint="eastAsia" w:ascii="宋体" w:hAnsi="宋体" w:eastAsia="宋体" w:cs="宋体"/>
                <w:highlight w:val="none"/>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3"/>
      <w:bookmarkEnd w:id="4"/>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highlight w:val="none"/>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三</w:t>
      </w:r>
      <w:r>
        <w:rPr>
          <w:rFonts w:hint="eastAsia" w:ascii="宋体" w:hAnsi="宋体" w:cs="宋体"/>
          <w:b/>
          <w:bCs/>
          <w:szCs w:val="21"/>
          <w:highlight w:val="none"/>
        </w:rPr>
        <w:t>年，</w:t>
      </w:r>
      <w:r>
        <w:rPr>
          <w:rFonts w:hint="eastAsia" w:ascii="宋体" w:hAnsi="宋体" w:cs="宋体"/>
          <w:szCs w:val="21"/>
          <w:highlight w:val="none"/>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spacing w:line="360" w:lineRule="auto"/>
        <w:ind w:firstLine="422" w:firstLineChars="200"/>
        <w:jc w:val="left"/>
        <w:rPr>
          <w:rFonts w:hint="eastAsia" w:ascii="宋体" w:hAnsi="宋体" w:eastAsia="宋体"/>
          <w:b/>
          <w:bCs/>
          <w:color w:val="000000"/>
          <w:szCs w:val="21"/>
          <w:highlight w:val="none"/>
          <w:lang w:eastAsia="zh-CN"/>
        </w:rPr>
      </w:pPr>
      <w:r>
        <w:rPr>
          <w:rFonts w:hint="eastAsia" w:ascii="宋体" w:hAnsi="宋体"/>
          <w:b/>
          <w:bCs/>
          <w:szCs w:val="21"/>
          <w:highlight w:val="none"/>
          <w:lang w:eastAsia="zh-CN"/>
        </w:rPr>
        <w:t>设备到达采购人现场，安装调试完成最终验收合格，</w:t>
      </w:r>
      <w:r>
        <w:rPr>
          <w:rFonts w:hint="eastAsia" w:ascii="宋体" w:hAnsi="宋体" w:eastAsia="宋体"/>
          <w:b/>
          <w:bCs/>
          <w:color w:val="000000"/>
          <w:szCs w:val="21"/>
          <w:highlight w:val="none"/>
          <w:lang w:eastAsia="zh-CN"/>
        </w:rPr>
        <w:t>采购人在30个日历天内向中标人支付合同总金额的60%。设备正常运行6个月，采购人在30个日历天内向中标人支付合同总金额的30%。余款待中标人承诺的质保期满后采购人在30个日历天内向中标人一次性付清。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highlight w:val="none"/>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2.中标</w:t>
      </w:r>
      <w:r>
        <w:rPr>
          <w:rFonts w:hint="eastAsia" w:ascii="宋体" w:hAnsi="宋体" w:cs="宋体"/>
          <w:color w:val="auto"/>
          <w:szCs w:val="21"/>
          <w:highlight w:val="none"/>
        </w:rPr>
        <w:t>人接到</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人供货通知，按照</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人要求送至指定地点，负责运输。中标人所投品牌货物</w:t>
      </w:r>
      <w:r>
        <w:rPr>
          <w:rFonts w:hint="eastAsia" w:ascii="宋体" w:hAnsi="宋体" w:cs="宋体"/>
          <w:color w:val="auto"/>
          <w:szCs w:val="21"/>
          <w:highlight w:val="none"/>
          <w:lang w:val="en-US" w:eastAsia="zh-CN"/>
        </w:rPr>
        <w:t>在供货或使用过程中出现质量和使用问题，采购人有权要求更换，直至采购人满意，且不再另行支付任何费用。</w:t>
      </w:r>
      <w:bookmarkEnd w:id="1"/>
      <w:bookmarkEnd w:id="2"/>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8"/>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D5ACF"/>
    <w:rsid w:val="018F280C"/>
    <w:rsid w:val="01AB2967"/>
    <w:rsid w:val="01B174F6"/>
    <w:rsid w:val="01DD1261"/>
    <w:rsid w:val="01DD20DB"/>
    <w:rsid w:val="01F1776D"/>
    <w:rsid w:val="01F74ED2"/>
    <w:rsid w:val="02842AAB"/>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8517ECD"/>
    <w:rsid w:val="093A7BC5"/>
    <w:rsid w:val="094B2EAA"/>
    <w:rsid w:val="09D34DE1"/>
    <w:rsid w:val="09FE2A25"/>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74984"/>
    <w:rsid w:val="0E6D0C38"/>
    <w:rsid w:val="0E8E3F75"/>
    <w:rsid w:val="0EA16002"/>
    <w:rsid w:val="0ED44466"/>
    <w:rsid w:val="0EDF30E4"/>
    <w:rsid w:val="0F242EBB"/>
    <w:rsid w:val="0F736CB4"/>
    <w:rsid w:val="0FC12794"/>
    <w:rsid w:val="0FD61363"/>
    <w:rsid w:val="10360106"/>
    <w:rsid w:val="10545C7A"/>
    <w:rsid w:val="10D246C9"/>
    <w:rsid w:val="10E04761"/>
    <w:rsid w:val="113C03CA"/>
    <w:rsid w:val="116738E6"/>
    <w:rsid w:val="118743B9"/>
    <w:rsid w:val="11E971EE"/>
    <w:rsid w:val="11F87B5C"/>
    <w:rsid w:val="128560F7"/>
    <w:rsid w:val="12BE6C61"/>
    <w:rsid w:val="12D1335A"/>
    <w:rsid w:val="136F0CDE"/>
    <w:rsid w:val="14021722"/>
    <w:rsid w:val="144A7B7E"/>
    <w:rsid w:val="14B71F90"/>
    <w:rsid w:val="14CF5677"/>
    <w:rsid w:val="15E24861"/>
    <w:rsid w:val="17445295"/>
    <w:rsid w:val="175A5BA4"/>
    <w:rsid w:val="1806160D"/>
    <w:rsid w:val="18316AE0"/>
    <w:rsid w:val="1892729A"/>
    <w:rsid w:val="18E84F59"/>
    <w:rsid w:val="190B7349"/>
    <w:rsid w:val="19595811"/>
    <w:rsid w:val="1963331A"/>
    <w:rsid w:val="19F0750E"/>
    <w:rsid w:val="1A05104C"/>
    <w:rsid w:val="1A77355B"/>
    <w:rsid w:val="1ABD518E"/>
    <w:rsid w:val="1AEF0FE2"/>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1FCE6DBB"/>
    <w:rsid w:val="20C90716"/>
    <w:rsid w:val="20D52888"/>
    <w:rsid w:val="211656FA"/>
    <w:rsid w:val="217F179B"/>
    <w:rsid w:val="2194188F"/>
    <w:rsid w:val="219F7FA9"/>
    <w:rsid w:val="21E92449"/>
    <w:rsid w:val="21F133FA"/>
    <w:rsid w:val="233B157D"/>
    <w:rsid w:val="24350BEC"/>
    <w:rsid w:val="24497549"/>
    <w:rsid w:val="24AD3FD5"/>
    <w:rsid w:val="255B41CD"/>
    <w:rsid w:val="25A93F7B"/>
    <w:rsid w:val="25E00DFC"/>
    <w:rsid w:val="26926505"/>
    <w:rsid w:val="26CF4677"/>
    <w:rsid w:val="26F868E4"/>
    <w:rsid w:val="27527065"/>
    <w:rsid w:val="277F2568"/>
    <w:rsid w:val="279F6AFD"/>
    <w:rsid w:val="28363BC8"/>
    <w:rsid w:val="285B3B61"/>
    <w:rsid w:val="286C1411"/>
    <w:rsid w:val="287D70BE"/>
    <w:rsid w:val="28D56B7C"/>
    <w:rsid w:val="29001E4B"/>
    <w:rsid w:val="29375507"/>
    <w:rsid w:val="29954C89"/>
    <w:rsid w:val="29FC7AA2"/>
    <w:rsid w:val="2A242446"/>
    <w:rsid w:val="2A824C2D"/>
    <w:rsid w:val="2A902C50"/>
    <w:rsid w:val="2AA576CB"/>
    <w:rsid w:val="2AB32B73"/>
    <w:rsid w:val="2B762790"/>
    <w:rsid w:val="2BAE68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2D049F9"/>
    <w:rsid w:val="33961AE3"/>
    <w:rsid w:val="33F16F60"/>
    <w:rsid w:val="341858C0"/>
    <w:rsid w:val="348712CA"/>
    <w:rsid w:val="35B4432A"/>
    <w:rsid w:val="35BD418B"/>
    <w:rsid w:val="35F8221C"/>
    <w:rsid w:val="375743B3"/>
    <w:rsid w:val="375B2CD5"/>
    <w:rsid w:val="3763390A"/>
    <w:rsid w:val="37670C16"/>
    <w:rsid w:val="37682226"/>
    <w:rsid w:val="37BF79A7"/>
    <w:rsid w:val="37F63AB6"/>
    <w:rsid w:val="37FE068E"/>
    <w:rsid w:val="39262D30"/>
    <w:rsid w:val="392E0314"/>
    <w:rsid w:val="3A2101CB"/>
    <w:rsid w:val="3A5C2DAD"/>
    <w:rsid w:val="3B5A2682"/>
    <w:rsid w:val="3C29300F"/>
    <w:rsid w:val="3C8A392F"/>
    <w:rsid w:val="3C926D5D"/>
    <w:rsid w:val="3D023F8C"/>
    <w:rsid w:val="3D48018B"/>
    <w:rsid w:val="3D7F41D3"/>
    <w:rsid w:val="3D997F87"/>
    <w:rsid w:val="3DF37D79"/>
    <w:rsid w:val="3E3942CD"/>
    <w:rsid w:val="3E532EF3"/>
    <w:rsid w:val="3E730A19"/>
    <w:rsid w:val="3E7D3FA9"/>
    <w:rsid w:val="3EB76FF8"/>
    <w:rsid w:val="3EC15ED7"/>
    <w:rsid w:val="3F366C2F"/>
    <w:rsid w:val="3F8607E7"/>
    <w:rsid w:val="3FD9520D"/>
    <w:rsid w:val="40245436"/>
    <w:rsid w:val="40777328"/>
    <w:rsid w:val="40C32167"/>
    <w:rsid w:val="40F23BB2"/>
    <w:rsid w:val="415B0E95"/>
    <w:rsid w:val="41C43066"/>
    <w:rsid w:val="41C84F24"/>
    <w:rsid w:val="41E214AE"/>
    <w:rsid w:val="41E2265E"/>
    <w:rsid w:val="42324373"/>
    <w:rsid w:val="42380803"/>
    <w:rsid w:val="429D5EF4"/>
    <w:rsid w:val="42B45D29"/>
    <w:rsid w:val="42C2426D"/>
    <w:rsid w:val="43456981"/>
    <w:rsid w:val="437B51B1"/>
    <w:rsid w:val="43906743"/>
    <w:rsid w:val="43CE14F2"/>
    <w:rsid w:val="445B4643"/>
    <w:rsid w:val="44D32939"/>
    <w:rsid w:val="451330F9"/>
    <w:rsid w:val="457D18FA"/>
    <w:rsid w:val="45F032F0"/>
    <w:rsid w:val="4604690E"/>
    <w:rsid w:val="46210ED7"/>
    <w:rsid w:val="467A1037"/>
    <w:rsid w:val="475204DD"/>
    <w:rsid w:val="47E979D7"/>
    <w:rsid w:val="482A4D97"/>
    <w:rsid w:val="482B1F40"/>
    <w:rsid w:val="49B02CBC"/>
    <w:rsid w:val="4A7E3CF4"/>
    <w:rsid w:val="4B2E23F0"/>
    <w:rsid w:val="4B367F93"/>
    <w:rsid w:val="4B5A5658"/>
    <w:rsid w:val="4B673262"/>
    <w:rsid w:val="4C7C1407"/>
    <w:rsid w:val="4C815910"/>
    <w:rsid w:val="4CE52F83"/>
    <w:rsid w:val="4D3554D2"/>
    <w:rsid w:val="4D4A0144"/>
    <w:rsid w:val="4D6E513D"/>
    <w:rsid w:val="4E225DBE"/>
    <w:rsid w:val="4E2C5D94"/>
    <w:rsid w:val="4EEF501A"/>
    <w:rsid w:val="512B026F"/>
    <w:rsid w:val="516D7533"/>
    <w:rsid w:val="51C90454"/>
    <w:rsid w:val="523217F0"/>
    <w:rsid w:val="53083C4A"/>
    <w:rsid w:val="53282ABD"/>
    <w:rsid w:val="535B1F2A"/>
    <w:rsid w:val="53A034C7"/>
    <w:rsid w:val="53EB6204"/>
    <w:rsid w:val="5464741F"/>
    <w:rsid w:val="547075D6"/>
    <w:rsid w:val="54C315C8"/>
    <w:rsid w:val="54DF07ED"/>
    <w:rsid w:val="559D4986"/>
    <w:rsid w:val="55AA2FBB"/>
    <w:rsid w:val="55BF6A67"/>
    <w:rsid w:val="56757F96"/>
    <w:rsid w:val="569D0B8E"/>
    <w:rsid w:val="56DF1904"/>
    <w:rsid w:val="56EE232A"/>
    <w:rsid w:val="56F16D99"/>
    <w:rsid w:val="56FE711B"/>
    <w:rsid w:val="5758207A"/>
    <w:rsid w:val="57793128"/>
    <w:rsid w:val="579F706F"/>
    <w:rsid w:val="57B64EDC"/>
    <w:rsid w:val="57B679F5"/>
    <w:rsid w:val="580B19EB"/>
    <w:rsid w:val="58AE5938"/>
    <w:rsid w:val="58EA3EBC"/>
    <w:rsid w:val="59262959"/>
    <w:rsid w:val="592B2C50"/>
    <w:rsid w:val="59A65848"/>
    <w:rsid w:val="5A6A76DE"/>
    <w:rsid w:val="5A732C90"/>
    <w:rsid w:val="5AC92D10"/>
    <w:rsid w:val="5AD6220A"/>
    <w:rsid w:val="5B1927DE"/>
    <w:rsid w:val="5B302BB2"/>
    <w:rsid w:val="5B3E5BFD"/>
    <w:rsid w:val="5B8002C1"/>
    <w:rsid w:val="5BB406F0"/>
    <w:rsid w:val="5BB4682B"/>
    <w:rsid w:val="5BF255C4"/>
    <w:rsid w:val="5BFA2590"/>
    <w:rsid w:val="5C021B38"/>
    <w:rsid w:val="5C2C5C63"/>
    <w:rsid w:val="5C9B1F0F"/>
    <w:rsid w:val="5CA93FE9"/>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0D21F7"/>
    <w:rsid w:val="611D070A"/>
    <w:rsid w:val="614F7E1C"/>
    <w:rsid w:val="61722BA9"/>
    <w:rsid w:val="61BA4586"/>
    <w:rsid w:val="6202002B"/>
    <w:rsid w:val="621A6DD3"/>
    <w:rsid w:val="6248193D"/>
    <w:rsid w:val="6271541F"/>
    <w:rsid w:val="629C1E11"/>
    <w:rsid w:val="62B536C8"/>
    <w:rsid w:val="62D13DCC"/>
    <w:rsid w:val="631559FD"/>
    <w:rsid w:val="634424EB"/>
    <w:rsid w:val="637D2138"/>
    <w:rsid w:val="63891945"/>
    <w:rsid w:val="639860B9"/>
    <w:rsid w:val="63F77AF9"/>
    <w:rsid w:val="641E2BAA"/>
    <w:rsid w:val="64C53799"/>
    <w:rsid w:val="64DA4DC9"/>
    <w:rsid w:val="64DB064A"/>
    <w:rsid w:val="65A915AA"/>
    <w:rsid w:val="666415FB"/>
    <w:rsid w:val="66990C0E"/>
    <w:rsid w:val="66BD0545"/>
    <w:rsid w:val="66C85368"/>
    <w:rsid w:val="67322189"/>
    <w:rsid w:val="67D474BE"/>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D902CD"/>
    <w:rsid w:val="6FF8227C"/>
    <w:rsid w:val="70310798"/>
    <w:rsid w:val="70626FA0"/>
    <w:rsid w:val="709122BC"/>
    <w:rsid w:val="70D25448"/>
    <w:rsid w:val="70F63CBF"/>
    <w:rsid w:val="70F72920"/>
    <w:rsid w:val="714300F4"/>
    <w:rsid w:val="717B478B"/>
    <w:rsid w:val="71E46044"/>
    <w:rsid w:val="72013802"/>
    <w:rsid w:val="72A050D2"/>
    <w:rsid w:val="72F378F8"/>
    <w:rsid w:val="73013DC3"/>
    <w:rsid w:val="732F3793"/>
    <w:rsid w:val="734E77A9"/>
    <w:rsid w:val="738E335A"/>
    <w:rsid w:val="73A017A5"/>
    <w:rsid w:val="73C573AD"/>
    <w:rsid w:val="73DF3A9F"/>
    <w:rsid w:val="73EE734C"/>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3D2910"/>
    <w:rsid w:val="7940553B"/>
    <w:rsid w:val="7AE07019"/>
    <w:rsid w:val="7AFD4FEE"/>
    <w:rsid w:val="7B2B25B6"/>
    <w:rsid w:val="7B4E43E5"/>
    <w:rsid w:val="7BD365A2"/>
    <w:rsid w:val="7C506CEF"/>
    <w:rsid w:val="7C65486D"/>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4</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2025-07-22T03:33:28Z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