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48F20">
      <w:pPr>
        <w:spacing w:line="480" w:lineRule="exact"/>
        <w:jc w:val="center"/>
        <w:rPr>
          <w:rFonts w:ascii="宋体" w:cs="宋体"/>
          <w:b/>
          <w:bCs/>
          <w:snapToGrid w:val="0"/>
          <w:kern w:val="0"/>
          <w:sz w:val="32"/>
          <w:szCs w:val="32"/>
          <w:highlight w:val="none"/>
        </w:rPr>
      </w:pPr>
      <w:bookmarkStart w:id="10" w:name="_GoBack"/>
      <w:bookmarkEnd w:id="10"/>
      <w:r>
        <w:rPr>
          <w:rFonts w:hint="eastAsia" w:ascii="宋体" w:hAnsi="宋体" w:eastAsia="宋体" w:cs="宋体"/>
          <w:b/>
          <w:kern w:val="2"/>
          <w:sz w:val="32"/>
          <w:szCs w:val="32"/>
          <w:highlight w:val="none"/>
          <w:lang w:val="zh-CN" w:eastAsia="zh-CN" w:bidi="ar-SA"/>
        </w:rPr>
        <w:t>货物需求及参数要求</w:t>
      </w:r>
    </w:p>
    <w:p w14:paraId="5C7966E4">
      <w:pPr>
        <w:widowControl/>
        <w:spacing w:line="500" w:lineRule="exact"/>
        <w:ind w:firstLine="422" w:firstLineChars="200"/>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为鼓励不同品牌的充分竞争，如某设备的某技术参数或要求属于个别品牌专有，则该技术参数及要求不具有限制性，投标人可对该参数或要求进行适当调整，但这种调整整体上要优于或相当于采购文件的相关要求。</w:t>
      </w:r>
    </w:p>
    <w:p w14:paraId="19F5CF57">
      <w:pPr>
        <w:widowControl/>
        <w:numPr>
          <w:ilvl w:val="0"/>
          <w:numId w:val="1"/>
        </w:numPr>
        <w:spacing w:line="360" w:lineRule="auto"/>
        <w:jc w:val="left"/>
        <w:rPr>
          <w:rFonts w:hint="eastAsia"/>
          <w:b/>
          <w:bCs/>
          <w:highlight w:val="none"/>
        </w:rPr>
      </w:pPr>
      <w:r>
        <w:rPr>
          <w:rFonts w:hint="eastAsia"/>
          <w:b/>
          <w:bCs/>
          <w:highlight w:val="none"/>
        </w:rPr>
        <w:t>货物需求一览表</w:t>
      </w:r>
      <w:bookmarkStart w:id="0" w:name="_Hlk96158360"/>
      <w:bookmarkStart w:id="1" w:name="_Hlk106267351"/>
    </w:p>
    <w:tbl>
      <w:tblPr>
        <w:tblStyle w:val="5"/>
        <w:tblW w:w="9789" w:type="dxa"/>
        <w:jc w:val="center"/>
        <w:tblLayout w:type="fixed"/>
        <w:tblCellMar>
          <w:top w:w="0" w:type="dxa"/>
          <w:left w:w="108" w:type="dxa"/>
          <w:bottom w:w="0" w:type="dxa"/>
          <w:right w:w="108" w:type="dxa"/>
        </w:tblCellMar>
      </w:tblPr>
      <w:tblGrid>
        <w:gridCol w:w="524"/>
        <w:gridCol w:w="1431"/>
        <w:gridCol w:w="5260"/>
        <w:gridCol w:w="598"/>
        <w:gridCol w:w="1278"/>
        <w:gridCol w:w="698"/>
      </w:tblGrid>
      <w:tr w14:paraId="165A3F64">
        <w:tblPrEx>
          <w:tblCellMar>
            <w:top w:w="0" w:type="dxa"/>
            <w:left w:w="108" w:type="dxa"/>
            <w:bottom w:w="0" w:type="dxa"/>
            <w:right w:w="108" w:type="dxa"/>
          </w:tblCellMar>
        </w:tblPrEx>
        <w:trPr>
          <w:trHeight w:val="652" w:hRule="atLeast"/>
          <w:jc w:val="center"/>
        </w:trPr>
        <w:tc>
          <w:tcPr>
            <w:tcW w:w="524" w:type="dxa"/>
            <w:tcBorders>
              <w:top w:val="single" w:color="000000" w:sz="4" w:space="0"/>
              <w:left w:val="single" w:color="000000" w:sz="4" w:space="0"/>
              <w:bottom w:val="single" w:color="auto" w:sz="4" w:space="0"/>
              <w:right w:val="single" w:color="000000" w:sz="4" w:space="0"/>
            </w:tcBorders>
            <w:noWrap/>
            <w:vAlign w:val="center"/>
          </w:tcPr>
          <w:p w14:paraId="12D299A2">
            <w:pPr>
              <w:widowControl/>
              <w:jc w:val="center"/>
              <w:textAlignment w:val="center"/>
              <w:rPr>
                <w:rFonts w:hint="eastAsia"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kern w:val="0"/>
                <w:szCs w:val="21"/>
                <w:highlight w:val="none"/>
                <w:lang w:bidi="ar"/>
              </w:rPr>
              <w:t>序号</w:t>
            </w:r>
          </w:p>
        </w:tc>
        <w:tc>
          <w:tcPr>
            <w:tcW w:w="1431" w:type="dxa"/>
            <w:tcBorders>
              <w:top w:val="single" w:color="000000" w:sz="4" w:space="0"/>
              <w:left w:val="single" w:color="000000" w:sz="4" w:space="0"/>
              <w:bottom w:val="single" w:color="auto" w:sz="4" w:space="0"/>
              <w:right w:val="single" w:color="000000" w:sz="4" w:space="0"/>
            </w:tcBorders>
            <w:noWrap/>
            <w:vAlign w:val="center"/>
          </w:tcPr>
          <w:p w14:paraId="345CA369">
            <w:pPr>
              <w:widowControl/>
              <w:jc w:val="center"/>
              <w:textAlignment w:val="center"/>
              <w:rPr>
                <w:rFonts w:hint="eastAsia"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kern w:val="0"/>
                <w:szCs w:val="21"/>
                <w:highlight w:val="none"/>
                <w:lang w:val="en-US" w:eastAsia="zh-CN" w:bidi="ar"/>
              </w:rPr>
              <w:t>产品</w:t>
            </w:r>
            <w:r>
              <w:rPr>
                <w:rFonts w:hint="eastAsia" w:asciiTheme="minorEastAsia" w:hAnsiTheme="minorEastAsia" w:eastAsiaTheme="minorEastAsia" w:cstheme="minorEastAsia"/>
                <w:b/>
                <w:bCs/>
                <w:kern w:val="0"/>
                <w:szCs w:val="21"/>
                <w:highlight w:val="none"/>
                <w:lang w:bidi="ar"/>
              </w:rPr>
              <w:t>名称</w:t>
            </w:r>
          </w:p>
        </w:tc>
        <w:tc>
          <w:tcPr>
            <w:tcW w:w="5260" w:type="dxa"/>
            <w:tcBorders>
              <w:top w:val="single" w:color="000000" w:sz="4" w:space="0"/>
              <w:left w:val="single" w:color="000000" w:sz="4" w:space="0"/>
              <w:bottom w:val="single" w:color="auto" w:sz="4" w:space="0"/>
              <w:right w:val="single" w:color="000000" w:sz="4" w:space="0"/>
            </w:tcBorders>
            <w:noWrap/>
            <w:vAlign w:val="center"/>
          </w:tcPr>
          <w:p w14:paraId="60F5B887">
            <w:pPr>
              <w:widowControl/>
              <w:spacing w:line="360" w:lineRule="auto"/>
              <w:jc w:val="center"/>
              <w:textAlignment w:val="center"/>
              <w:rPr>
                <w:rFonts w:hint="eastAsia" w:asciiTheme="minorEastAsia" w:hAnsiTheme="minorEastAsia" w:eastAsiaTheme="minorEastAsia" w:cstheme="minorEastAsia"/>
                <w:b/>
                <w:bCs/>
                <w:kern w:val="0"/>
                <w:szCs w:val="21"/>
                <w:highlight w:val="none"/>
                <w:lang w:bidi="ar"/>
              </w:rPr>
            </w:pPr>
            <w:r>
              <w:rPr>
                <w:rFonts w:hint="eastAsia" w:asciiTheme="minorEastAsia" w:hAnsiTheme="minorEastAsia" w:eastAsiaTheme="minorEastAsia" w:cstheme="minorEastAsia"/>
                <w:b/>
                <w:bCs/>
                <w:kern w:val="0"/>
                <w:szCs w:val="21"/>
                <w:highlight w:val="none"/>
                <w:lang w:bidi="ar"/>
              </w:rPr>
              <w:t>技术参数</w:t>
            </w:r>
          </w:p>
        </w:tc>
        <w:tc>
          <w:tcPr>
            <w:tcW w:w="598" w:type="dxa"/>
            <w:tcBorders>
              <w:top w:val="single" w:color="000000" w:sz="4" w:space="0"/>
              <w:left w:val="single" w:color="000000" w:sz="4" w:space="0"/>
              <w:bottom w:val="single" w:color="000000" w:sz="4" w:space="0"/>
              <w:right w:val="single" w:color="000000" w:sz="4" w:space="0"/>
            </w:tcBorders>
            <w:noWrap/>
            <w:vAlign w:val="center"/>
          </w:tcPr>
          <w:p w14:paraId="0271952C">
            <w:pPr>
              <w:widowControl/>
              <w:jc w:val="center"/>
              <w:textAlignment w:val="center"/>
              <w:rPr>
                <w:rFonts w:hint="eastAsia"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kern w:val="0"/>
                <w:szCs w:val="21"/>
                <w:highlight w:val="none"/>
                <w:lang w:val="en-US" w:eastAsia="zh-CN" w:bidi="ar"/>
              </w:rPr>
              <w:t>数</w:t>
            </w:r>
            <w:r>
              <w:rPr>
                <w:rFonts w:hint="eastAsia" w:asciiTheme="minorEastAsia" w:hAnsiTheme="minorEastAsia" w:eastAsiaTheme="minorEastAsia" w:cstheme="minorEastAsia"/>
                <w:b/>
                <w:bCs/>
                <w:kern w:val="0"/>
                <w:szCs w:val="21"/>
                <w:highlight w:val="none"/>
                <w:lang w:bidi="ar"/>
              </w:rPr>
              <w:t>量</w:t>
            </w:r>
          </w:p>
        </w:tc>
        <w:tc>
          <w:tcPr>
            <w:tcW w:w="1278" w:type="dxa"/>
            <w:tcBorders>
              <w:top w:val="single" w:color="000000" w:sz="4" w:space="0"/>
              <w:left w:val="single" w:color="000000" w:sz="4" w:space="0"/>
              <w:bottom w:val="single" w:color="000000" w:sz="4" w:space="0"/>
              <w:right w:val="single" w:color="000000" w:sz="4" w:space="0"/>
            </w:tcBorders>
            <w:noWrap/>
            <w:vAlign w:val="center"/>
          </w:tcPr>
          <w:p w14:paraId="3DAE70D9">
            <w:pPr>
              <w:widowControl/>
              <w:jc w:val="center"/>
              <w:textAlignment w:val="center"/>
              <w:rPr>
                <w:rFonts w:hint="eastAsia" w:asciiTheme="minorEastAsia" w:hAnsiTheme="minorEastAsia" w:eastAsiaTheme="minorEastAsia" w:cstheme="minorEastAsia"/>
                <w:b/>
                <w:bCs/>
                <w:kern w:val="0"/>
                <w:szCs w:val="21"/>
                <w:highlight w:val="none"/>
                <w:lang w:eastAsia="zh-CN" w:bidi="ar"/>
              </w:rPr>
            </w:pPr>
            <w:r>
              <w:rPr>
                <w:rFonts w:hint="eastAsia" w:asciiTheme="minorEastAsia" w:hAnsiTheme="minorEastAsia" w:eastAsiaTheme="minorEastAsia" w:cstheme="minorEastAsia"/>
                <w:b/>
                <w:bCs/>
                <w:kern w:val="0"/>
                <w:szCs w:val="21"/>
                <w:highlight w:val="none"/>
                <w:lang w:val="en-US" w:eastAsia="zh-CN" w:bidi="ar"/>
              </w:rPr>
              <w:t>单价</w:t>
            </w:r>
            <w:r>
              <w:rPr>
                <w:rFonts w:hint="eastAsia" w:asciiTheme="minorEastAsia" w:hAnsiTheme="minorEastAsia" w:eastAsiaTheme="minorEastAsia" w:cstheme="minorEastAsia"/>
                <w:b/>
                <w:bCs/>
                <w:kern w:val="0"/>
                <w:szCs w:val="21"/>
                <w:highlight w:val="none"/>
                <w:lang w:bidi="ar"/>
              </w:rPr>
              <w:t>限价</w:t>
            </w:r>
            <w:r>
              <w:rPr>
                <w:rFonts w:hint="eastAsia" w:asciiTheme="minorEastAsia" w:hAnsiTheme="minorEastAsia" w:eastAsiaTheme="minorEastAsia" w:cstheme="minorEastAsia"/>
                <w:b/>
                <w:bCs/>
                <w:kern w:val="0"/>
                <w:szCs w:val="21"/>
                <w:highlight w:val="none"/>
                <w:lang w:eastAsia="zh-CN" w:bidi="ar"/>
              </w:rPr>
              <w:t>（</w:t>
            </w:r>
            <w:r>
              <w:rPr>
                <w:rFonts w:hint="eastAsia" w:asciiTheme="minorEastAsia" w:hAnsiTheme="minorEastAsia" w:eastAsiaTheme="minorEastAsia" w:cstheme="minorEastAsia"/>
                <w:b/>
                <w:bCs/>
                <w:kern w:val="0"/>
                <w:szCs w:val="21"/>
                <w:highlight w:val="none"/>
                <w:lang w:val="en-US" w:eastAsia="zh-CN" w:bidi="ar"/>
              </w:rPr>
              <w:t>元/套</w:t>
            </w:r>
            <w:r>
              <w:rPr>
                <w:rFonts w:hint="eastAsia" w:asciiTheme="minorEastAsia" w:hAnsiTheme="minorEastAsia" w:eastAsiaTheme="minorEastAsia" w:cstheme="minorEastAsia"/>
                <w:b/>
                <w:bCs/>
                <w:kern w:val="0"/>
                <w:szCs w:val="21"/>
                <w:highlight w:val="none"/>
                <w:lang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631668BA">
            <w:pPr>
              <w:widowControl/>
              <w:jc w:val="center"/>
              <w:textAlignment w:val="center"/>
              <w:rPr>
                <w:rFonts w:hint="eastAsia" w:asciiTheme="minorEastAsia" w:hAnsiTheme="minorEastAsia" w:eastAsiaTheme="minorEastAsia" w:cstheme="minorEastAsia"/>
                <w:b/>
                <w:bCs/>
                <w:kern w:val="0"/>
                <w:szCs w:val="21"/>
                <w:highlight w:val="none"/>
                <w:lang w:val="en-US" w:eastAsia="zh-CN" w:bidi="ar"/>
              </w:rPr>
            </w:pPr>
            <w:r>
              <w:rPr>
                <w:rFonts w:hint="eastAsia" w:asciiTheme="minorEastAsia" w:hAnsiTheme="minorEastAsia" w:eastAsiaTheme="minorEastAsia" w:cstheme="minorEastAsia"/>
                <w:b/>
                <w:bCs/>
                <w:kern w:val="0"/>
                <w:szCs w:val="21"/>
                <w:highlight w:val="none"/>
                <w:lang w:val="en-US" w:eastAsia="zh-CN" w:bidi="ar"/>
              </w:rPr>
              <w:t>备注</w:t>
            </w:r>
          </w:p>
        </w:tc>
      </w:tr>
      <w:tr w14:paraId="73426A70">
        <w:tblPrEx>
          <w:tblCellMar>
            <w:top w:w="0" w:type="dxa"/>
            <w:left w:w="108" w:type="dxa"/>
            <w:bottom w:w="0" w:type="dxa"/>
            <w:right w:w="108" w:type="dxa"/>
          </w:tblCellMar>
        </w:tblPrEx>
        <w:trPr>
          <w:trHeight w:val="90" w:hRule="atLeast"/>
          <w:jc w:val="center"/>
        </w:trPr>
        <w:tc>
          <w:tcPr>
            <w:tcW w:w="524" w:type="dxa"/>
            <w:tcBorders>
              <w:top w:val="single" w:color="auto" w:sz="4" w:space="0"/>
              <w:left w:val="single" w:color="auto" w:sz="4" w:space="0"/>
              <w:bottom w:val="single" w:color="auto" w:sz="4" w:space="0"/>
              <w:right w:val="single" w:color="auto" w:sz="4" w:space="0"/>
            </w:tcBorders>
            <w:noWrap/>
            <w:vAlign w:val="center"/>
          </w:tcPr>
          <w:p w14:paraId="7A16D25D">
            <w:pPr>
              <w:widowControl/>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w:t>
            </w:r>
          </w:p>
        </w:tc>
        <w:tc>
          <w:tcPr>
            <w:tcW w:w="1431" w:type="dxa"/>
            <w:tcBorders>
              <w:top w:val="single" w:color="auto" w:sz="4" w:space="0"/>
              <w:left w:val="single" w:color="auto" w:sz="4" w:space="0"/>
              <w:bottom w:val="single" w:color="auto" w:sz="4" w:space="0"/>
              <w:right w:val="single" w:color="auto" w:sz="4" w:space="0"/>
            </w:tcBorders>
            <w:noWrap/>
            <w:vAlign w:val="center"/>
          </w:tcPr>
          <w:p w14:paraId="58913C89">
            <w:pPr>
              <w:widowControl/>
              <w:spacing w:line="240" w:lineRule="auto"/>
              <w:jc w:val="center"/>
              <w:textAlignment w:val="center"/>
              <w:rPr>
                <w:rFonts w:hint="eastAsia" w:asciiTheme="minorEastAsia" w:hAnsiTheme="minorEastAsia" w:eastAsiaTheme="minorEastAsia" w:cstheme="minorEastAsia"/>
                <w:szCs w:val="21"/>
                <w:highlight w:val="none"/>
              </w:rPr>
            </w:pPr>
            <w:r>
              <w:rPr>
                <w:rFonts w:hint="eastAsia" w:ascii="宋体" w:hAnsi="宋体" w:eastAsia="宋体" w:cs="宋体"/>
                <w:sz w:val="21"/>
                <w:szCs w:val="21"/>
                <w:lang w:val="en-US" w:eastAsia="zh-CN"/>
              </w:rPr>
              <w:t>转运呼吸机（高压氧舱专用）</w:t>
            </w:r>
          </w:p>
        </w:tc>
        <w:tc>
          <w:tcPr>
            <w:tcW w:w="5260" w:type="dxa"/>
            <w:tcBorders>
              <w:top w:val="single" w:color="auto" w:sz="4" w:space="0"/>
              <w:left w:val="single" w:color="auto" w:sz="4" w:space="0"/>
              <w:bottom w:val="single" w:color="auto" w:sz="4" w:space="0"/>
              <w:right w:val="single" w:color="000000" w:sz="4" w:space="0"/>
            </w:tcBorders>
            <w:noWrap/>
            <w:vAlign w:val="center"/>
          </w:tcPr>
          <w:p w14:paraId="1132001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宋体"/>
                <w:lang w:eastAsia="zh-CN"/>
              </w:rPr>
            </w:pPr>
            <w:r>
              <w:rPr>
                <w:rFonts w:hint="eastAsia"/>
              </w:rPr>
              <w:t>★</w:t>
            </w:r>
            <w:r>
              <w:rPr>
                <w:rFonts w:hint="eastAsia"/>
                <w:lang w:val="en-US" w:eastAsia="zh-CN"/>
              </w:rPr>
              <w:t>1、</w:t>
            </w:r>
            <w:r>
              <w:rPr>
                <w:rFonts w:hint="eastAsia"/>
              </w:rPr>
              <w:t>气动电控</w:t>
            </w:r>
            <w:r>
              <w:rPr>
                <w:rFonts w:hint="eastAsia"/>
                <w:lang w:eastAsia="zh-CN"/>
              </w:rPr>
              <w:t>或电动电控</w:t>
            </w:r>
            <w:r>
              <w:rPr>
                <w:rFonts w:hint="eastAsia"/>
              </w:rPr>
              <w:t>型呼吸机，</w:t>
            </w:r>
            <w:r>
              <w:rPr>
                <w:rFonts w:hint="eastAsia"/>
                <w:lang w:eastAsia="zh-CN"/>
              </w:rPr>
              <w:t>具有远程操控监测功能，</w:t>
            </w:r>
            <w:r>
              <w:rPr>
                <w:rFonts w:hint="eastAsia"/>
              </w:rPr>
              <w:t>可在高压氧</w:t>
            </w:r>
            <w:r>
              <w:t>舱</w:t>
            </w:r>
            <w:r>
              <w:rPr>
                <w:rFonts w:hint="eastAsia"/>
              </w:rPr>
              <w:t>内使用</w:t>
            </w:r>
            <w:r>
              <w:rPr>
                <w:rFonts w:hint="eastAsia"/>
                <w:lang w:eastAsia="zh-CN"/>
              </w:rPr>
              <w:t>。</w:t>
            </w:r>
            <w:r>
              <w:rPr>
                <w:rFonts w:hint="eastAsia"/>
                <w:b/>
                <w:bCs/>
                <w:lang w:eastAsia="zh-CN"/>
              </w:rPr>
              <w:t>（</w:t>
            </w:r>
            <w:r>
              <w:rPr>
                <w:rFonts w:hint="eastAsia"/>
                <w:b/>
                <w:bCs/>
                <w:lang w:val="en-US" w:eastAsia="zh-CN"/>
              </w:rPr>
              <w:t>投标文件中须</w:t>
            </w:r>
            <w:r>
              <w:rPr>
                <w:b/>
                <w:bCs/>
              </w:rPr>
              <w:t>提供第三方氧舱</w:t>
            </w:r>
            <w:r>
              <w:rPr>
                <w:rFonts w:hint="eastAsia"/>
                <w:b/>
                <w:bCs/>
              </w:rPr>
              <w:t>内高压环境</w:t>
            </w:r>
            <w:r>
              <w:rPr>
                <w:b/>
                <w:bCs/>
              </w:rPr>
              <w:t>使用测试报告</w:t>
            </w:r>
            <w:r>
              <w:rPr>
                <w:rFonts w:hint="eastAsia"/>
                <w:b/>
                <w:bCs/>
                <w:lang w:eastAsia="zh-CN"/>
              </w:rPr>
              <w:t>）</w:t>
            </w:r>
          </w:p>
          <w:p w14:paraId="7D8B5DD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lang w:eastAsia="zh-CN"/>
              </w:rPr>
            </w:pPr>
            <w:r>
              <w:rPr>
                <w:rFonts w:hint="eastAsia"/>
              </w:rPr>
              <w:t>★</w:t>
            </w:r>
            <w:r>
              <w:rPr>
                <w:rFonts w:hint="eastAsia"/>
                <w:lang w:val="en-US" w:eastAsia="zh-CN"/>
              </w:rPr>
              <w:t>2、</w:t>
            </w:r>
            <w:r>
              <w:rPr>
                <w:rFonts w:hint="eastAsia"/>
                <w:lang w:eastAsia="zh-CN"/>
              </w:rPr>
              <w:t>呼吸机</w:t>
            </w:r>
            <w:r>
              <w:t>工作环境压力</w:t>
            </w:r>
            <w:r>
              <w:rPr>
                <w:rFonts w:hint="eastAsia"/>
              </w:rPr>
              <w:t>≥2</w:t>
            </w:r>
            <w:r>
              <w:t>.8bar</w:t>
            </w:r>
            <w:r>
              <w:rPr>
                <w:rFonts w:hint="eastAsia"/>
                <w:lang w:eastAsia="zh-CN"/>
              </w:rPr>
              <w:t>（</w:t>
            </w:r>
            <w:r>
              <w:t>即加压</w:t>
            </w:r>
            <w:r>
              <w:rPr>
                <w:rFonts w:hint="eastAsia"/>
              </w:rPr>
              <w:t>1</w:t>
            </w:r>
            <w:r>
              <w:t>.8bar</w:t>
            </w:r>
            <w:r>
              <w:rPr>
                <w:rFonts w:hint="eastAsia"/>
                <w:lang w:eastAsia="zh-CN"/>
              </w:rPr>
              <w:t>），确保设备在高压氧舱内工作性能正常。</w:t>
            </w:r>
          </w:p>
          <w:p w14:paraId="33626CA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宋体"/>
                <w:lang w:eastAsia="zh-CN"/>
              </w:rPr>
            </w:pPr>
            <w:r>
              <w:rPr>
                <w:rFonts w:hint="eastAsia"/>
                <w:lang w:val="en-US" w:eastAsia="zh-CN"/>
              </w:rPr>
              <w:t>3、须</w:t>
            </w:r>
            <w:r>
              <w:rPr>
                <w:rFonts w:hint="eastAsia"/>
              </w:rPr>
              <w:t>具备中文语音导航和报警功能，方便医务人员掌握</w:t>
            </w:r>
            <w:r>
              <w:rPr>
                <w:rFonts w:hint="eastAsia"/>
                <w:lang w:eastAsia="zh-CN"/>
              </w:rPr>
              <w:t>。</w:t>
            </w:r>
          </w:p>
          <w:p w14:paraId="4BB18ED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宋体"/>
                <w:lang w:eastAsia="zh-CN"/>
              </w:rPr>
            </w:pPr>
            <w:r>
              <w:rPr>
                <w:rFonts w:hint="eastAsia"/>
                <w:lang w:val="en-US" w:eastAsia="zh-CN"/>
              </w:rPr>
              <w:t>4、设备</w:t>
            </w:r>
            <w:r>
              <w:rPr>
                <w:rFonts w:hint="eastAsia"/>
              </w:rPr>
              <w:t>可一键快速设定新生儿、儿童和成人模式，迅速进入抢救状态</w:t>
            </w:r>
            <w:r>
              <w:rPr>
                <w:rFonts w:hint="eastAsia"/>
                <w:lang w:eastAsia="zh-CN"/>
              </w:rPr>
              <w:t>。</w:t>
            </w:r>
          </w:p>
          <w:p w14:paraId="0D3FF50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lang w:eastAsia="zh-CN"/>
              </w:rPr>
            </w:pPr>
            <w:r>
              <w:rPr>
                <w:rFonts w:hint="eastAsia"/>
                <w:lang w:val="en-US" w:eastAsia="zh-CN"/>
              </w:rPr>
              <w:t>5、设备须自带显示屏，</w:t>
            </w:r>
            <w:r>
              <w:rPr>
                <w:rFonts w:hint="eastAsia"/>
              </w:rPr>
              <w:t>尺寸≥5</w:t>
            </w:r>
            <w:r>
              <w:rPr>
                <w:rFonts w:hint="eastAsia"/>
                <w:lang w:eastAsia="zh-CN"/>
              </w:rPr>
              <w:t>英</w:t>
            </w:r>
            <w:r>
              <w:rPr>
                <w:rFonts w:hint="eastAsia"/>
              </w:rPr>
              <w:t>寸</w:t>
            </w:r>
            <w:r>
              <w:rPr>
                <w:rFonts w:hint="eastAsia"/>
                <w:lang w:eastAsia="zh-CN"/>
              </w:rPr>
              <w:t>，</w:t>
            </w:r>
            <w:r>
              <w:rPr>
                <w:rFonts w:hint="eastAsia"/>
              </w:rPr>
              <w:t>分辨率≥640</w:t>
            </w:r>
            <w:r>
              <w:rPr>
                <w:rFonts w:hint="default" w:ascii="Arial" w:hAnsi="Arial" w:cs="Arial"/>
                <w:lang w:val="en-US" w:eastAsia="zh-CN"/>
              </w:rPr>
              <w:t>×</w:t>
            </w:r>
            <w:r>
              <w:rPr>
                <w:rFonts w:hint="eastAsia"/>
              </w:rPr>
              <w:t>480像素</w:t>
            </w:r>
            <w:r>
              <w:rPr>
                <w:rFonts w:hint="eastAsia"/>
                <w:lang w:eastAsia="zh-CN"/>
              </w:rPr>
              <w:t>。</w:t>
            </w:r>
          </w:p>
          <w:p w14:paraId="178D3FD6">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eastAsia="宋体"/>
                <w:lang w:eastAsia="zh-CN"/>
              </w:rPr>
            </w:pPr>
            <w:r>
              <w:rPr>
                <w:rFonts w:hint="eastAsia"/>
                <w:lang w:val="en-US" w:eastAsia="zh-CN"/>
              </w:rPr>
              <w:t>6、</w:t>
            </w:r>
            <w:r>
              <w:rPr>
                <w:rFonts w:hint="eastAsia"/>
              </w:rPr>
              <w:t>控制模式：时间</w:t>
            </w:r>
            <w:r>
              <w:t xml:space="preserve">- </w:t>
            </w:r>
            <w:r>
              <w:rPr>
                <w:rFonts w:hint="eastAsia"/>
              </w:rPr>
              <w:t>触发、容量</w:t>
            </w:r>
            <w:r>
              <w:t>-</w:t>
            </w:r>
            <w:r>
              <w:rPr>
                <w:rFonts w:hint="eastAsia"/>
              </w:rPr>
              <w:t>控制模式</w:t>
            </w:r>
            <w:r>
              <w:rPr>
                <w:rFonts w:hint="eastAsia"/>
                <w:lang w:eastAsia="zh-CN"/>
              </w:rPr>
              <w:t>。</w:t>
            </w:r>
          </w:p>
          <w:p w14:paraId="050A7451">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pPr>
            <w:r>
              <w:rPr>
                <w:rFonts w:hint="eastAsia"/>
                <w:lang w:val="en-US" w:eastAsia="zh-CN"/>
              </w:rPr>
              <w:t>7、</w:t>
            </w:r>
            <w:r>
              <w:rPr>
                <w:rFonts w:hint="eastAsia"/>
              </w:rPr>
              <w:t>呼吸模式：</w:t>
            </w:r>
            <w:r>
              <w:rPr>
                <w:rFonts w:hint="eastAsia"/>
                <w:lang w:eastAsia="zh-CN"/>
              </w:rPr>
              <w:t>最少须包含</w:t>
            </w:r>
            <w:r>
              <w:rPr>
                <w:rFonts w:hint="eastAsia"/>
              </w:rPr>
              <w:t>IPPV</w:t>
            </w:r>
            <w:r>
              <w:rPr>
                <w:rFonts w:hint="eastAsia"/>
                <w:lang w:eastAsia="zh-CN"/>
              </w:rPr>
              <w:t>（间歇正压通气）</w:t>
            </w:r>
            <w:r>
              <w:rPr>
                <w:rFonts w:hint="eastAsia"/>
              </w:rPr>
              <w:t>、</w:t>
            </w:r>
            <w:r>
              <w:rPr>
                <w:rFonts w:hint="eastAsia"/>
                <w:lang w:eastAsia="zh-CN"/>
              </w:rPr>
              <w:t>辅助</w:t>
            </w:r>
            <w:r>
              <w:rPr>
                <w:rFonts w:hint="eastAsia"/>
                <w:lang w:val="en-US" w:eastAsia="zh-CN"/>
              </w:rPr>
              <w:t>/控制通气</w:t>
            </w:r>
            <w:r>
              <w:rPr>
                <w:rFonts w:hint="eastAsia"/>
                <w:lang w:eastAsia="zh-CN"/>
              </w:rPr>
              <w:t>（</w:t>
            </w:r>
            <w:r>
              <w:rPr>
                <w:rFonts w:hint="eastAsia"/>
              </w:rPr>
              <w:t>A/C</w:t>
            </w:r>
            <w:r>
              <w:rPr>
                <w:rFonts w:hint="eastAsia"/>
                <w:lang w:eastAsia="zh-CN"/>
              </w:rPr>
              <w:t>）</w:t>
            </w:r>
            <w:r>
              <w:rPr>
                <w:rFonts w:hint="eastAsia"/>
              </w:rPr>
              <w:t>、</w:t>
            </w:r>
            <w:r>
              <w:rPr>
                <w:rFonts w:hint="eastAsia"/>
                <w:lang w:eastAsia="zh-CN"/>
              </w:rPr>
              <w:t>同步间歇指令通气（</w:t>
            </w:r>
            <w:r>
              <w:rPr>
                <w:rFonts w:hint="eastAsia"/>
              </w:rPr>
              <w:t>SIMV</w:t>
            </w:r>
            <w:r>
              <w:rPr>
                <w:rFonts w:hint="eastAsia"/>
                <w:lang w:eastAsia="zh-CN"/>
              </w:rPr>
              <w:t>）</w:t>
            </w:r>
            <w:r>
              <w:rPr>
                <w:rFonts w:hint="eastAsia"/>
              </w:rPr>
              <w:t>、</w:t>
            </w:r>
            <w:r>
              <w:rPr>
                <w:rFonts w:hint="eastAsia"/>
                <w:lang w:eastAsia="zh-CN"/>
              </w:rPr>
              <w:t>持续气道正压通气（</w:t>
            </w:r>
            <w:r>
              <w:t>CPAP</w:t>
            </w:r>
            <w:r>
              <w:rPr>
                <w:rFonts w:hint="eastAsia"/>
                <w:lang w:eastAsia="zh-CN"/>
              </w:rPr>
              <w:t>）和手动通气五种模式。</w:t>
            </w:r>
          </w:p>
          <w:p w14:paraId="51884BB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lang w:val="en-US" w:eastAsia="zh-CN"/>
              </w:rPr>
            </w:pPr>
            <w:r>
              <w:rPr>
                <w:rFonts w:hint="eastAsia"/>
                <w:lang w:val="en-US" w:eastAsia="zh-CN"/>
              </w:rPr>
              <w:t>8、</w:t>
            </w:r>
            <w:r>
              <w:rPr>
                <w:rFonts w:hint="eastAsia"/>
              </w:rPr>
              <w:t>吸呼时间比</w:t>
            </w:r>
            <w:r>
              <w:rPr>
                <w:rFonts w:hint="eastAsia"/>
                <w:lang w:eastAsia="zh-CN"/>
              </w:rPr>
              <w:t>：</w:t>
            </w:r>
            <w:r>
              <w:rPr>
                <w:rFonts w:hint="eastAsia"/>
              </w:rPr>
              <w:t>9:1到1:9可调（或高于此范围），步进0.1</w:t>
            </w:r>
            <w:r>
              <w:rPr>
                <w:rFonts w:hint="eastAsia"/>
                <w:lang w:eastAsia="zh-CN"/>
              </w:rPr>
              <w:t>。</w:t>
            </w:r>
          </w:p>
          <w:p w14:paraId="0A5B025C">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eastAsia="宋体"/>
                <w:lang w:val="en-US" w:eastAsia="zh-CN"/>
              </w:rPr>
            </w:pPr>
            <w:r>
              <w:rPr>
                <w:rFonts w:hint="eastAsia"/>
                <w:lang w:val="en-US" w:eastAsia="zh-CN"/>
              </w:rPr>
              <w:t>9、</w:t>
            </w:r>
            <w:r>
              <w:rPr>
                <w:rFonts w:hint="eastAsia"/>
              </w:rPr>
              <w:t>潮气量：50</w:t>
            </w:r>
            <w:r>
              <w:rPr>
                <w:rFonts w:hint="eastAsia"/>
                <w:lang w:val="en-US" w:eastAsia="zh-CN"/>
              </w:rPr>
              <w:t>ml</w:t>
            </w:r>
            <w:r>
              <w:rPr>
                <w:rFonts w:hint="eastAsia"/>
              </w:rPr>
              <w:t>～ 2500</w:t>
            </w:r>
            <w:r>
              <w:rPr>
                <w:rFonts w:hint="eastAsia"/>
                <w:lang w:val="en-US" w:eastAsia="zh-CN"/>
              </w:rPr>
              <w:t>ml。</w:t>
            </w:r>
          </w:p>
          <w:p w14:paraId="74CA9CE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宋体"/>
                <w:lang w:eastAsia="zh-CN"/>
              </w:rPr>
            </w:pPr>
            <w:r>
              <w:rPr>
                <w:rFonts w:hint="eastAsia"/>
                <w:lang w:val="en-US" w:eastAsia="zh-CN"/>
              </w:rPr>
              <w:t>10、</w:t>
            </w:r>
            <w:r>
              <w:rPr>
                <w:rFonts w:hint="eastAsia"/>
              </w:rPr>
              <w:t>最大通气流量</w:t>
            </w:r>
            <w:r>
              <w:rPr>
                <w:rFonts w:hint="eastAsia"/>
                <w:lang w:eastAsia="zh-CN"/>
              </w:rPr>
              <w:t>：</w:t>
            </w:r>
            <w:r>
              <w:rPr>
                <w:rFonts w:hint="eastAsia"/>
              </w:rPr>
              <w:t>不低于45升/分钟</w:t>
            </w:r>
            <w:r>
              <w:rPr>
                <w:rFonts w:hint="eastAsia"/>
                <w:lang w:eastAsia="zh-CN"/>
              </w:rPr>
              <w:t>。</w:t>
            </w:r>
          </w:p>
          <w:p w14:paraId="441BE81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宋体"/>
                <w:lang w:eastAsia="zh-CN"/>
              </w:rPr>
            </w:pPr>
            <w:r>
              <w:rPr>
                <w:rFonts w:hint="eastAsia"/>
                <w:lang w:val="en-US" w:eastAsia="zh-CN"/>
              </w:rPr>
              <w:t>11、</w:t>
            </w:r>
            <w:r>
              <w:rPr>
                <w:rFonts w:hint="eastAsia"/>
              </w:rPr>
              <w:t>手动供气流量：1~60L/min</w:t>
            </w:r>
            <w:r>
              <w:rPr>
                <w:rFonts w:hint="eastAsia"/>
                <w:lang w:eastAsia="zh-CN"/>
              </w:rPr>
              <w:t>。</w:t>
            </w:r>
          </w:p>
          <w:p w14:paraId="2EAF0A3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宋体"/>
                <w:lang w:eastAsia="zh-CN"/>
              </w:rPr>
            </w:pPr>
            <w:r>
              <w:rPr>
                <w:rFonts w:hint="eastAsia"/>
                <w:lang w:val="en-US" w:eastAsia="zh-CN"/>
              </w:rPr>
              <w:t>12、</w:t>
            </w:r>
            <w:r>
              <w:rPr>
                <w:rFonts w:hint="eastAsia"/>
              </w:rPr>
              <w:t>呼吸频率</w:t>
            </w:r>
            <w:r>
              <w:rPr>
                <w:rFonts w:hint="eastAsia"/>
                <w:lang w:eastAsia="zh-CN"/>
              </w:rPr>
              <w:t>：</w:t>
            </w:r>
            <w:r>
              <w:rPr>
                <w:rFonts w:hint="eastAsia"/>
              </w:rPr>
              <w:t>1～</w:t>
            </w:r>
            <w:r>
              <w:t>99</w:t>
            </w:r>
            <w:r>
              <w:rPr>
                <w:rFonts w:hint="eastAsia"/>
              </w:rPr>
              <w:t>bpm，误差</w:t>
            </w:r>
            <w:r>
              <w:t>±</w:t>
            </w:r>
            <w:r>
              <w:rPr>
                <w:rFonts w:hint="eastAsia"/>
              </w:rPr>
              <w:t>1bpm</w:t>
            </w:r>
            <w:r>
              <w:rPr>
                <w:rFonts w:hint="eastAsia"/>
                <w:lang w:eastAsia="zh-CN"/>
              </w:rPr>
              <w:t>。</w:t>
            </w:r>
          </w:p>
          <w:p w14:paraId="0DFF92D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宋体"/>
                <w:lang w:eastAsia="zh-CN"/>
              </w:rPr>
            </w:pPr>
            <w:r>
              <w:rPr>
                <w:rFonts w:hint="eastAsia"/>
                <w:lang w:val="en-US" w:eastAsia="zh-CN"/>
              </w:rPr>
              <w:t>13、</w:t>
            </w:r>
            <w:r>
              <w:rPr>
                <w:rFonts w:hint="eastAsia"/>
              </w:rPr>
              <w:t>氧浓度调节范围：45-100%</w:t>
            </w:r>
            <w:r>
              <w:rPr>
                <w:rFonts w:hint="eastAsia"/>
                <w:lang w:eastAsia="zh-CN"/>
              </w:rPr>
              <w:t>。</w:t>
            </w:r>
          </w:p>
          <w:p w14:paraId="11556C4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宋体"/>
                <w:lang w:eastAsia="zh-CN"/>
              </w:rPr>
            </w:pPr>
            <w:r>
              <w:rPr>
                <w:rFonts w:hint="eastAsia"/>
                <w:lang w:val="en-US" w:eastAsia="zh-CN"/>
              </w:rPr>
              <w:t>14、</w:t>
            </w:r>
            <w:r>
              <w:rPr>
                <w:rFonts w:hint="eastAsia"/>
              </w:rPr>
              <w:t>监测指标：氧浓度、分钟通气量、潮气量、气道压力（峰值压、平均圧、平台压）</w:t>
            </w:r>
            <w:r>
              <w:rPr>
                <w:rFonts w:hint="eastAsia"/>
                <w:lang w:eastAsia="zh-CN"/>
              </w:rPr>
              <w:t>等。</w:t>
            </w:r>
          </w:p>
          <w:p w14:paraId="301CC2A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lang w:eastAsia="zh-CN"/>
              </w:rPr>
            </w:pPr>
            <w:r>
              <w:rPr>
                <w:rFonts w:hint="eastAsia"/>
                <w:lang w:val="en-US" w:eastAsia="zh-CN"/>
              </w:rPr>
              <w:t>15、</w:t>
            </w:r>
            <w:r>
              <w:rPr>
                <w:rFonts w:hint="eastAsia"/>
              </w:rPr>
              <w:t>最大呼吸压力</w:t>
            </w:r>
            <w:r>
              <w:rPr>
                <w:rFonts w:hint="eastAsia"/>
                <w:lang w:eastAsia="zh-CN"/>
              </w:rPr>
              <w:t>：</w:t>
            </w:r>
            <w:r>
              <w:rPr>
                <w:rFonts w:hint="eastAsia"/>
              </w:rPr>
              <w:t>4～60mbar可任意设置</w:t>
            </w:r>
            <w:r>
              <w:rPr>
                <w:rFonts w:hint="eastAsia"/>
                <w:lang w:eastAsia="zh-CN"/>
              </w:rPr>
              <w:t>。</w:t>
            </w:r>
          </w:p>
          <w:p w14:paraId="56AF66D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宋体"/>
                <w:lang w:eastAsia="zh-CN"/>
              </w:rPr>
            </w:pPr>
            <w:r>
              <w:rPr>
                <w:rFonts w:hint="eastAsia"/>
                <w:lang w:val="en-US" w:eastAsia="zh-CN"/>
              </w:rPr>
              <w:t>16、</w:t>
            </w:r>
            <w:r>
              <w:rPr>
                <w:rFonts w:hint="eastAsia"/>
              </w:rPr>
              <w:t>呼吸系统顺应性≥100 ml/ cmH2O</w:t>
            </w:r>
            <w:r>
              <w:rPr>
                <w:rFonts w:hint="eastAsia"/>
                <w:lang w:eastAsia="zh-CN"/>
              </w:rPr>
              <w:t>。</w:t>
            </w:r>
          </w:p>
          <w:p w14:paraId="292EFB03">
            <w:pPr>
              <w:keepNext w:val="0"/>
              <w:keepLines w:val="0"/>
              <w:pageBreakBefore w:val="0"/>
              <w:widowControl w:val="0"/>
              <w:kinsoku/>
              <w:wordWrap/>
              <w:overflowPunct/>
              <w:topLinePunct w:val="0"/>
              <w:autoSpaceDE/>
              <w:autoSpaceDN/>
              <w:bidi w:val="0"/>
              <w:adjustRightInd/>
              <w:snapToGrid/>
              <w:spacing w:line="480" w:lineRule="exact"/>
              <w:textAlignment w:val="auto"/>
            </w:pPr>
            <w:r>
              <w:rPr>
                <w:rFonts w:hint="eastAsia"/>
                <w:lang w:val="en-US" w:eastAsia="zh-CN"/>
              </w:rPr>
              <w:t>17、</w:t>
            </w:r>
            <w:r>
              <w:rPr>
                <w:rFonts w:hint="eastAsia"/>
              </w:rPr>
              <w:t>应急吸入空气口</w:t>
            </w:r>
            <w:r>
              <w:rPr>
                <w:rFonts w:hint="eastAsia"/>
                <w:lang w:eastAsia="zh-CN"/>
              </w:rPr>
              <w:t>：具有。</w:t>
            </w:r>
            <w:r>
              <w:rPr>
                <w:rFonts w:hint="eastAsia"/>
              </w:rPr>
              <w:tab/>
            </w:r>
          </w:p>
          <w:p w14:paraId="5DED558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宋体"/>
                <w:lang w:val="en-US" w:eastAsia="zh-CN"/>
              </w:rPr>
            </w:pPr>
            <w:r>
              <w:rPr>
                <w:rFonts w:hint="eastAsia"/>
                <w:lang w:val="en-US" w:eastAsia="zh-CN"/>
              </w:rPr>
              <w:t>18、</w:t>
            </w:r>
            <w:r>
              <w:rPr>
                <w:rFonts w:hint="eastAsia"/>
              </w:rPr>
              <w:t>最大送气：压力为4bar且空氧开到最大时，流量传感测得的流量至少120</w:t>
            </w:r>
            <w:r>
              <w:rPr>
                <w:rFonts w:hint="eastAsia"/>
                <w:lang w:val="en-US" w:eastAsia="zh-CN"/>
              </w:rPr>
              <w:t>L/min</w:t>
            </w:r>
            <w:r>
              <w:rPr>
                <w:rFonts w:hint="eastAsia"/>
              </w:rPr>
              <w:t>（ATPD）</w:t>
            </w:r>
            <w:r>
              <w:rPr>
                <w:rFonts w:hint="eastAsia"/>
                <w:lang w:val="en-US" w:eastAsia="zh-CN"/>
              </w:rPr>
              <w:t>。</w:t>
            </w:r>
          </w:p>
          <w:p w14:paraId="4EE91A0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lang w:eastAsia="zh-CN"/>
              </w:rPr>
            </w:pPr>
            <w:r>
              <w:rPr>
                <w:rFonts w:hint="eastAsia"/>
                <w:lang w:val="en-US" w:eastAsia="zh-CN"/>
              </w:rPr>
              <w:t>19、</w:t>
            </w:r>
            <w:r>
              <w:rPr>
                <w:rFonts w:hint="eastAsia"/>
              </w:rPr>
              <w:t>呼吸机气源连接管道接头规格:</w:t>
            </w:r>
            <w:r>
              <w:rPr>
                <w:rFonts w:hint="eastAsia"/>
                <w:lang w:eastAsia="zh-CN"/>
              </w:rPr>
              <w:t>至少标配</w:t>
            </w:r>
            <w:r>
              <w:rPr>
                <w:rFonts w:hint="eastAsia"/>
              </w:rPr>
              <w:t>外螺纹9/16-18及快插2种</w:t>
            </w:r>
            <w:r>
              <w:rPr>
                <w:rFonts w:hint="eastAsia"/>
                <w:lang w:eastAsia="zh-CN"/>
              </w:rPr>
              <w:t>。</w:t>
            </w:r>
          </w:p>
          <w:p w14:paraId="4A400A9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宋体"/>
                <w:lang w:eastAsia="zh-CN"/>
              </w:rPr>
            </w:pPr>
            <w:r>
              <w:rPr>
                <w:rFonts w:hint="eastAsia"/>
                <w:lang w:val="en-US" w:eastAsia="zh-CN"/>
              </w:rPr>
              <w:t>20、内置</w:t>
            </w:r>
            <w:r>
              <w:rPr>
                <w:rFonts w:hint="eastAsia"/>
              </w:rPr>
              <w:t>可充电锂电池，支持热插拔</w:t>
            </w:r>
            <w:r>
              <w:rPr>
                <w:rFonts w:hint="eastAsia"/>
                <w:lang w:eastAsia="zh-CN"/>
              </w:rPr>
              <w:t>，</w:t>
            </w:r>
            <w:r>
              <w:rPr>
                <w:rFonts w:hint="eastAsia"/>
              </w:rPr>
              <w:t>电池可在线充电，</w:t>
            </w:r>
            <w:r>
              <w:rPr>
                <w:rFonts w:hint="eastAsia"/>
                <w:lang w:eastAsia="zh-CN"/>
              </w:rPr>
              <w:t>满电状况下连续</w:t>
            </w:r>
            <w:r>
              <w:rPr>
                <w:rFonts w:hint="eastAsia"/>
              </w:rPr>
              <w:t>工作</w:t>
            </w:r>
            <w:r>
              <w:rPr>
                <w:rFonts w:hint="eastAsia"/>
                <w:lang w:val="en-US" w:eastAsia="zh-CN"/>
              </w:rPr>
              <w:t>8</w:t>
            </w:r>
            <w:r>
              <w:rPr>
                <w:rFonts w:hint="eastAsia"/>
              </w:rPr>
              <w:t>小时</w:t>
            </w:r>
            <w:r>
              <w:rPr>
                <w:rFonts w:hint="eastAsia"/>
                <w:lang w:eastAsia="zh-CN"/>
              </w:rPr>
              <w:t>以上。</w:t>
            </w:r>
          </w:p>
          <w:p w14:paraId="44C7989F">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lang w:eastAsia="zh-CN"/>
              </w:rPr>
            </w:pPr>
            <w:r>
              <w:rPr>
                <w:rFonts w:hint="eastAsia"/>
                <w:lang w:val="en-US" w:eastAsia="zh-CN"/>
              </w:rPr>
              <w:t>21、</w:t>
            </w:r>
            <w:r>
              <w:rPr>
                <w:rFonts w:hint="eastAsia"/>
                <w:lang w:eastAsia="zh-CN"/>
              </w:rPr>
              <w:t>选配功能</w:t>
            </w:r>
          </w:p>
          <w:p w14:paraId="6B794F2F">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eastAsia="宋体"/>
                <w:lang w:eastAsia="zh-CN"/>
              </w:rPr>
            </w:pPr>
            <w:r>
              <w:rPr>
                <w:rFonts w:hint="eastAsia"/>
                <w:lang w:val="en-US" w:eastAsia="zh-CN"/>
              </w:rPr>
              <w:t>21.1</w:t>
            </w:r>
            <w:r>
              <w:rPr>
                <w:rFonts w:hint="eastAsia"/>
                <w:lang w:eastAsia="zh-CN"/>
              </w:rPr>
              <w:t>可选配</w:t>
            </w:r>
            <w:r>
              <w:rPr>
                <w:rFonts w:hint="eastAsia"/>
              </w:rPr>
              <w:t>旁流式CO2监测，</w:t>
            </w:r>
            <w:r>
              <w:rPr>
                <w:rFonts w:hint="eastAsia" w:ascii="宋体" w:hAnsi="宋体" w:cs="黑体"/>
                <w:kern w:val="0"/>
                <w:szCs w:val="21"/>
              </w:rPr>
              <w:t>呼末二氧化碳测量范围0～60mmHg</w:t>
            </w:r>
            <w:r>
              <w:rPr>
                <w:rFonts w:hint="eastAsia" w:ascii="宋体" w:hAnsi="宋体" w:cs="黑体"/>
                <w:kern w:val="0"/>
                <w:szCs w:val="21"/>
                <w:lang w:eastAsia="zh-CN"/>
              </w:rPr>
              <w:t>，</w:t>
            </w:r>
            <w:r>
              <w:rPr>
                <w:rFonts w:hint="eastAsia"/>
              </w:rPr>
              <w:t>有效反馈呼吸治疗效果</w:t>
            </w:r>
            <w:r>
              <w:rPr>
                <w:rFonts w:hint="eastAsia"/>
                <w:lang w:eastAsia="zh-CN"/>
              </w:rPr>
              <w:t>；</w:t>
            </w:r>
          </w:p>
          <w:p w14:paraId="0958CCD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宋体"/>
                <w:lang w:eastAsia="zh-CN"/>
              </w:rPr>
            </w:pPr>
            <w:r>
              <w:rPr>
                <w:rFonts w:hint="eastAsia"/>
                <w:lang w:val="en-US" w:eastAsia="zh-CN"/>
              </w:rPr>
              <w:t>21.2可升级</w:t>
            </w:r>
            <w:r>
              <w:rPr>
                <w:rFonts w:hint="eastAsia"/>
              </w:rPr>
              <w:t>W</w:t>
            </w:r>
            <w:r>
              <w:t>IFI</w:t>
            </w:r>
            <w:r>
              <w:rPr>
                <w:rFonts w:hint="eastAsia"/>
                <w:lang w:eastAsia="zh-CN"/>
              </w:rPr>
              <w:t>或蓝牙</w:t>
            </w:r>
            <w:r>
              <w:t>无线传输功能</w:t>
            </w:r>
            <w:r>
              <w:rPr>
                <w:rFonts w:hint="eastAsia"/>
              </w:rPr>
              <w:t>，</w:t>
            </w:r>
            <w:r>
              <w:t>选配平板电脑与呼吸机连接</w:t>
            </w:r>
            <w:r>
              <w:rPr>
                <w:rFonts w:hint="eastAsia"/>
                <w:lang w:eastAsia="zh-CN"/>
              </w:rPr>
              <w:t>，实现舱外监测操控；</w:t>
            </w:r>
          </w:p>
          <w:p w14:paraId="3995976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宋体"/>
                <w:lang w:eastAsia="zh-CN"/>
              </w:rPr>
            </w:pPr>
            <w:r>
              <w:rPr>
                <w:rFonts w:hint="eastAsia"/>
                <w:lang w:val="en-US" w:eastAsia="zh-CN"/>
              </w:rPr>
              <w:t>22、</w:t>
            </w:r>
            <w:r>
              <w:rPr>
                <w:rFonts w:hint="eastAsia"/>
              </w:rPr>
              <w:t>主机重量</w:t>
            </w:r>
            <w:r>
              <w:rPr>
                <w:rFonts w:hint="eastAsia"/>
                <w:lang w:eastAsia="zh-CN"/>
              </w:rPr>
              <w:t>：</w:t>
            </w:r>
            <w:r>
              <w:rPr>
                <w:rFonts w:hint="eastAsia"/>
              </w:rPr>
              <w:t>≤3.</w:t>
            </w:r>
            <w:r>
              <w:rPr>
                <w:rFonts w:hint="eastAsia"/>
                <w:lang w:val="en-US" w:eastAsia="zh-CN"/>
              </w:rPr>
              <w:t>6</w:t>
            </w:r>
            <w:r>
              <w:rPr>
                <w:rFonts w:hint="eastAsia"/>
              </w:rPr>
              <w:t>Kg</w:t>
            </w:r>
            <w:r>
              <w:rPr>
                <w:rFonts w:hint="eastAsia"/>
                <w:lang w:eastAsia="zh-CN"/>
              </w:rPr>
              <w:t>。</w:t>
            </w:r>
          </w:p>
          <w:p w14:paraId="4902B43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Cs w:val="21"/>
                <w:highlight w:val="none"/>
                <w:lang w:val="en-US" w:eastAsia="zh-CN"/>
              </w:rPr>
            </w:pPr>
            <w:r>
              <w:rPr>
                <w:rFonts w:hint="eastAsia"/>
              </w:rPr>
              <w:t>★</w:t>
            </w:r>
            <w:r>
              <w:rPr>
                <w:rFonts w:hint="eastAsia"/>
                <w:lang w:val="en-US" w:eastAsia="zh-CN"/>
              </w:rPr>
              <w:t>23、</w:t>
            </w:r>
            <w:r>
              <w:rPr>
                <w:rFonts w:hint="eastAsia"/>
              </w:rPr>
              <w:t>防水等级</w:t>
            </w:r>
            <w:r>
              <w:rPr>
                <w:rFonts w:hint="eastAsia"/>
                <w:lang w:eastAsia="zh-CN"/>
              </w:rPr>
              <w:t>不低于</w:t>
            </w:r>
            <w:r>
              <w:rPr>
                <w:rFonts w:hint="eastAsia"/>
              </w:rPr>
              <w:t>IPX4</w:t>
            </w:r>
            <w:r>
              <w:rPr>
                <w:rFonts w:hint="eastAsia"/>
                <w:lang w:eastAsia="zh-CN"/>
              </w:rPr>
              <w:t>。</w:t>
            </w:r>
          </w:p>
        </w:tc>
        <w:tc>
          <w:tcPr>
            <w:tcW w:w="598" w:type="dxa"/>
            <w:tcBorders>
              <w:top w:val="single" w:color="000000" w:sz="4" w:space="0"/>
              <w:left w:val="single" w:color="000000" w:sz="4" w:space="0"/>
              <w:bottom w:val="single" w:color="auto" w:sz="4" w:space="0"/>
              <w:right w:val="single" w:color="000000" w:sz="4" w:space="0"/>
            </w:tcBorders>
            <w:noWrap/>
            <w:vAlign w:val="center"/>
          </w:tcPr>
          <w:p w14:paraId="0449BDF6">
            <w:pPr>
              <w:widowControl/>
              <w:spacing w:line="360" w:lineRule="auto"/>
              <w:jc w:val="center"/>
              <w:textAlignment w:val="center"/>
              <w:rPr>
                <w:rFonts w:hint="default" w:asciiTheme="minorEastAsia" w:hAnsiTheme="minorEastAsia" w:eastAsiaTheme="minorEastAsia" w:cstheme="minorEastAsia"/>
                <w:szCs w:val="21"/>
                <w:highlight w:val="none"/>
                <w:lang w:val="en-US" w:eastAsia="zh-CN"/>
              </w:rPr>
            </w:pPr>
            <w:r>
              <w:rPr>
                <w:rFonts w:hint="eastAsia" w:ascii="宋体" w:hAnsi="宋体" w:eastAsia="宋体" w:cs="宋体"/>
                <w:sz w:val="21"/>
                <w:szCs w:val="21"/>
                <w:lang w:val="en-US" w:eastAsia="zh-CN"/>
              </w:rPr>
              <w:t>1套</w:t>
            </w:r>
          </w:p>
        </w:tc>
        <w:tc>
          <w:tcPr>
            <w:tcW w:w="1278" w:type="dxa"/>
            <w:tcBorders>
              <w:top w:val="single" w:color="000000" w:sz="4" w:space="0"/>
              <w:left w:val="single" w:color="000000" w:sz="4" w:space="0"/>
              <w:bottom w:val="single" w:color="auto" w:sz="4" w:space="0"/>
              <w:right w:val="single" w:color="000000" w:sz="4" w:space="0"/>
            </w:tcBorders>
            <w:noWrap/>
            <w:vAlign w:val="center"/>
          </w:tcPr>
          <w:p w14:paraId="108E4198">
            <w:pPr>
              <w:widowControl/>
              <w:spacing w:line="360" w:lineRule="auto"/>
              <w:jc w:val="center"/>
              <w:textAlignment w:val="center"/>
              <w:rPr>
                <w:rFonts w:hint="default" w:asciiTheme="minorEastAsia" w:hAnsiTheme="minorEastAsia" w:eastAsiaTheme="minorEastAsia" w:cstheme="minorEastAsia"/>
                <w:szCs w:val="21"/>
                <w:highlight w:val="none"/>
                <w:lang w:val="en-US" w:eastAsia="zh-CN"/>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万元/套</w:t>
            </w:r>
          </w:p>
        </w:tc>
        <w:tc>
          <w:tcPr>
            <w:tcW w:w="698" w:type="dxa"/>
            <w:tcBorders>
              <w:top w:val="single" w:color="000000" w:sz="4" w:space="0"/>
              <w:left w:val="single" w:color="000000" w:sz="4" w:space="0"/>
              <w:bottom w:val="single" w:color="auto" w:sz="4" w:space="0"/>
              <w:right w:val="single" w:color="000000" w:sz="4" w:space="0"/>
            </w:tcBorders>
            <w:noWrap/>
            <w:vAlign w:val="center"/>
          </w:tcPr>
          <w:p w14:paraId="631C2D74">
            <w:pPr>
              <w:widowControl/>
              <w:spacing w:line="360" w:lineRule="auto"/>
              <w:jc w:val="center"/>
              <w:textAlignment w:val="center"/>
              <w:rPr>
                <w:rFonts w:hint="default" w:asciiTheme="minorEastAsia" w:hAnsiTheme="minorEastAsia" w:eastAsiaTheme="minorEastAsia" w:cstheme="minorEastAsia"/>
                <w:szCs w:val="21"/>
                <w:highlight w:val="none"/>
                <w:lang w:val="en-US" w:eastAsia="zh-CN"/>
              </w:rPr>
            </w:pPr>
            <w:r>
              <w:rPr>
                <w:rFonts w:hint="eastAsia" w:ascii="宋体" w:hAnsi="宋体" w:cs="宋体"/>
                <w:sz w:val="21"/>
                <w:szCs w:val="21"/>
                <w:lang w:val="en-US" w:eastAsia="zh-CN"/>
              </w:rPr>
              <w:t>国产</w:t>
            </w:r>
          </w:p>
        </w:tc>
      </w:tr>
      <w:tr w14:paraId="17CF26EA">
        <w:tblPrEx>
          <w:tblCellMar>
            <w:top w:w="0" w:type="dxa"/>
            <w:left w:w="108" w:type="dxa"/>
            <w:bottom w:w="0" w:type="dxa"/>
            <w:right w:w="108" w:type="dxa"/>
          </w:tblCellMar>
        </w:tblPrEx>
        <w:trPr>
          <w:trHeight w:val="90" w:hRule="atLeast"/>
          <w:jc w:val="center"/>
        </w:trPr>
        <w:tc>
          <w:tcPr>
            <w:tcW w:w="9789" w:type="dxa"/>
            <w:gridSpan w:val="6"/>
            <w:tcBorders>
              <w:top w:val="single" w:color="auto" w:sz="4" w:space="0"/>
              <w:left w:val="single" w:color="000000" w:sz="4" w:space="0"/>
              <w:bottom w:val="single" w:color="000000" w:sz="4" w:space="0"/>
              <w:right w:val="single" w:color="000000" w:sz="4" w:space="0"/>
            </w:tcBorders>
            <w:noWrap/>
            <w:vAlign w:val="center"/>
          </w:tcPr>
          <w:p w14:paraId="434F6CED">
            <w:pPr>
              <w:widowControl/>
              <w:spacing w:line="360" w:lineRule="auto"/>
              <w:ind w:left="630" w:hanging="630" w:hangingChars="300"/>
              <w:jc w:val="left"/>
              <w:textAlignment w:val="center"/>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说明：</w:t>
            </w:r>
          </w:p>
          <w:p w14:paraId="324609E7">
            <w:pPr>
              <w:widowControl/>
              <w:spacing w:line="360" w:lineRule="auto"/>
              <w:ind w:firstLine="420" w:firstLineChars="200"/>
              <w:jc w:val="left"/>
              <w:textAlignment w:val="center"/>
              <w:rPr>
                <w:rFonts w:hint="eastAsia" w:ascii="宋体" w:hAnsi="宋体"/>
                <w:bCs/>
                <w:color w:val="auto"/>
                <w:szCs w:val="21"/>
                <w:highlight w:val="none"/>
              </w:rPr>
            </w:pPr>
            <w:r>
              <w:rPr>
                <w:rFonts w:hint="eastAsia" w:ascii="宋体" w:hAnsi="宋体"/>
                <w:bCs/>
                <w:color w:val="auto"/>
                <w:szCs w:val="21"/>
                <w:highlight w:val="none"/>
              </w:rPr>
              <w:t>1.投标人的投标文件必须标明所投货物的品牌与参数，保证原厂正品供货。</w:t>
            </w:r>
          </w:p>
          <w:p w14:paraId="72251CC8">
            <w:pPr>
              <w:widowControl/>
              <w:spacing w:line="360" w:lineRule="auto"/>
              <w:ind w:left="420" w:leftChars="200"/>
              <w:jc w:val="left"/>
              <w:textAlignment w:val="center"/>
              <w:rPr>
                <w:rFonts w:hint="eastAsia" w:ascii="宋体" w:hAnsi="宋体"/>
                <w:b/>
                <w:color w:val="auto"/>
                <w:szCs w:val="21"/>
                <w:highlight w:val="none"/>
              </w:rPr>
            </w:pPr>
            <w:r>
              <w:rPr>
                <w:rFonts w:hint="eastAsia" w:ascii="宋体" w:hAnsi="宋体"/>
                <w:b/>
                <w:color w:val="auto"/>
                <w:szCs w:val="21"/>
                <w:highlight w:val="none"/>
              </w:rPr>
              <w:t>2.免费质保期：至少</w:t>
            </w:r>
            <w:r>
              <w:rPr>
                <w:rFonts w:hint="eastAsia" w:ascii="宋体" w:hAnsi="宋体"/>
                <w:b/>
                <w:color w:val="auto"/>
                <w:szCs w:val="21"/>
                <w:highlight w:val="none"/>
                <w:u w:val="single"/>
                <w:lang w:val="en-US" w:eastAsia="zh-CN"/>
              </w:rPr>
              <w:t xml:space="preserve"> 3 </w:t>
            </w:r>
            <w:r>
              <w:rPr>
                <w:rFonts w:hint="eastAsia" w:ascii="宋体" w:hAnsi="宋体"/>
                <w:b/>
                <w:color w:val="auto"/>
                <w:szCs w:val="21"/>
                <w:highlight w:val="none"/>
              </w:rPr>
              <w:t>年</w:t>
            </w:r>
          </w:p>
          <w:p w14:paraId="693433B8">
            <w:pPr>
              <w:widowControl/>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highlight w:val="none"/>
                <w:lang w:val="en-US" w:eastAsia="zh-CN"/>
              </w:rPr>
              <w:t>3.</w:t>
            </w:r>
            <w:r>
              <w:rPr>
                <w:rFonts w:hint="eastAsia" w:asciiTheme="minorEastAsia" w:hAnsiTheme="minorEastAsia" w:eastAsiaTheme="minorEastAsia" w:cstheme="minorEastAsia"/>
                <w:szCs w:val="21"/>
                <w:lang w:val="en-US" w:eastAsia="zh-CN"/>
              </w:rPr>
              <w:t>第2条和第23条技术参数</w:t>
            </w:r>
            <w:r>
              <w:rPr>
                <w:rFonts w:hint="eastAsia" w:asciiTheme="minorEastAsia" w:hAnsiTheme="minorEastAsia" w:eastAsiaTheme="minorEastAsia" w:cstheme="minorEastAsia"/>
                <w:szCs w:val="21"/>
              </w:rPr>
              <w:t>需在投标时提供技术证明文件之一（医疗器械注册证、医疗器械注册登记表、第三方检测报告、产品技术白皮书、产品使用说明书或已标明的证明材料）予以证明，未提供或提供的不符合参数要求的按无效标处理。</w:t>
            </w:r>
          </w:p>
          <w:p w14:paraId="4D077CB0">
            <w:pPr>
              <w:widowControl/>
              <w:spacing w:line="360" w:lineRule="auto"/>
              <w:ind w:firstLine="420" w:firstLineChars="200"/>
              <w:jc w:val="left"/>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rPr>
              <w:t>如投标人的投标文件中提供的相关技术证明文件（医疗器械注册证、医疗器械注册登记表、第三方检测报告、产品技术白皮书、产品使用说明书）中关于同一技术参数的表述不一致时，相关技术证明文件的效力由高到低顺序依次为医疗器械注册证、医疗器械注册登记表、第三方检测报告、产品技术白皮书、产品使用说明书。</w:t>
            </w:r>
          </w:p>
          <w:p w14:paraId="1A9CEB48">
            <w:pPr>
              <w:widowControl/>
              <w:spacing w:line="360" w:lineRule="auto"/>
              <w:ind w:firstLine="420" w:firstLineChars="200"/>
              <w:jc w:val="left"/>
              <w:textAlignment w:val="center"/>
              <w:rPr>
                <w:rFonts w:hint="eastAsia" w:ascii="宋体" w:hAnsi="宋体"/>
                <w:bCs/>
                <w:color w:val="auto"/>
                <w:szCs w:val="21"/>
                <w:highlight w:val="none"/>
              </w:rPr>
            </w:pPr>
            <w:r>
              <w:rPr>
                <w:rFonts w:hint="eastAsia" w:ascii="宋体" w:hAnsi="宋体"/>
                <w:bCs/>
                <w:color w:val="auto"/>
                <w:szCs w:val="21"/>
                <w:highlight w:val="none"/>
                <w:lang w:val="en-US" w:eastAsia="zh-CN"/>
              </w:rPr>
              <w:t>4</w:t>
            </w:r>
            <w:r>
              <w:rPr>
                <w:rFonts w:hint="eastAsia" w:ascii="宋体" w:hAnsi="宋体"/>
                <w:bCs/>
                <w:color w:val="auto"/>
                <w:szCs w:val="21"/>
                <w:highlight w:val="none"/>
              </w:rPr>
              <w:t>.所有技术参数及要求采购人验收时将逐条核对，如发现与实际情况不符、虚假响应等，采购人有权报监管部门并追究违约责任。</w:t>
            </w:r>
          </w:p>
          <w:p w14:paraId="10FAF5BC">
            <w:pPr>
              <w:widowControl/>
              <w:spacing w:line="360" w:lineRule="auto"/>
              <w:ind w:firstLine="420" w:firstLineChars="200"/>
              <w:jc w:val="left"/>
              <w:textAlignment w:val="center"/>
              <w:rPr>
                <w:rFonts w:hint="eastAsia" w:ascii="宋体" w:hAnsi="宋体"/>
                <w:bCs/>
                <w:color w:val="auto"/>
                <w:szCs w:val="21"/>
                <w:highlight w:val="none"/>
              </w:rPr>
            </w:pPr>
            <w:r>
              <w:rPr>
                <w:rFonts w:hint="eastAsia" w:ascii="宋体" w:hAnsi="宋体"/>
                <w:bCs/>
                <w:color w:val="auto"/>
                <w:szCs w:val="21"/>
                <w:highlight w:val="none"/>
                <w:lang w:val="en-US" w:eastAsia="zh-CN"/>
              </w:rPr>
              <w:t>5</w:t>
            </w:r>
            <w:r>
              <w:rPr>
                <w:rFonts w:hint="eastAsia" w:ascii="宋体" w:hAnsi="宋体"/>
                <w:bCs/>
                <w:color w:val="auto"/>
                <w:szCs w:val="21"/>
                <w:highlight w:val="none"/>
              </w:rPr>
              <w:t>.投标人应按照采购文件要求提供证明材料。若投标提供了采购文件未要求的证明材料，评标委员会将不予评审。</w:t>
            </w:r>
          </w:p>
          <w:p w14:paraId="586815BB">
            <w:pPr>
              <w:widowControl/>
              <w:spacing w:line="360" w:lineRule="auto"/>
              <w:ind w:firstLine="420" w:firstLineChars="200"/>
              <w:jc w:val="left"/>
              <w:rPr>
                <w:rFonts w:hint="default" w:eastAsia="宋体" w:asciiTheme="minorEastAsia" w:hAnsiTheme="minorEastAsia" w:cstheme="minorEastAsia"/>
                <w:szCs w:val="21"/>
                <w:highlight w:val="none"/>
                <w:lang w:val="en-US" w:eastAsia="zh-CN"/>
              </w:rPr>
            </w:pPr>
            <w:r>
              <w:rPr>
                <w:rFonts w:hint="eastAsia" w:ascii="宋体" w:hAnsi="宋体"/>
                <w:bCs/>
                <w:color w:val="auto"/>
                <w:szCs w:val="21"/>
                <w:highlight w:val="none"/>
                <w:lang w:val="en-US" w:eastAsia="zh-CN"/>
              </w:rPr>
              <w:t>6</w:t>
            </w:r>
            <w:r>
              <w:rPr>
                <w:rFonts w:hint="eastAsia" w:ascii="宋体" w:hAnsi="宋体"/>
                <w:bCs/>
                <w:color w:val="auto"/>
                <w:szCs w:val="21"/>
                <w:highlight w:val="none"/>
              </w:rPr>
              <w:t>.投标人提供的证明材料须清晰的反映评审内容，如因材料模糊不清，导致评标委员会无法辨认的，评标委员会可以不予认可，一切后果由投标人自行承担。</w:t>
            </w:r>
          </w:p>
        </w:tc>
      </w:tr>
      <w:bookmarkEnd w:id="0"/>
      <w:bookmarkEnd w:id="1"/>
    </w:tbl>
    <w:p w14:paraId="69D50EB0">
      <w:pPr>
        <w:pStyle w:val="7"/>
        <w:shd w:val="clear" w:color="auto" w:fill="FFFFFF"/>
        <w:spacing w:line="360" w:lineRule="auto"/>
        <w:ind w:firstLine="0" w:firstLineChars="0"/>
        <w:jc w:val="left"/>
        <w:rPr>
          <w:color w:val="auto"/>
          <w:highlight w:val="none"/>
        </w:rPr>
      </w:pPr>
      <w:r>
        <w:rPr>
          <w:rFonts w:hint="eastAsia" w:ascii="宋体" w:hAnsi="宋体" w:cs="宋体"/>
          <w:b/>
          <w:color w:val="auto"/>
          <w:szCs w:val="21"/>
          <w:highlight w:val="none"/>
        </w:rPr>
        <w:t>二、供货期</w:t>
      </w:r>
    </w:p>
    <w:p w14:paraId="2DA171A5">
      <w:pPr>
        <w:spacing w:line="360" w:lineRule="auto"/>
        <w:ind w:firstLine="420" w:firstLineChars="200"/>
        <w:outlineLvl w:val="1"/>
        <w:rPr>
          <w:rFonts w:hint="eastAsia" w:ascii="宋体" w:hAnsi="宋体" w:cs="宋体"/>
          <w:color w:val="auto"/>
          <w:szCs w:val="21"/>
          <w:highlight w:val="none"/>
        </w:rPr>
      </w:pPr>
      <w:r>
        <w:rPr>
          <w:rFonts w:hint="eastAsia" w:ascii="宋体" w:hAnsi="宋体" w:cs="宋体"/>
          <w:color w:val="auto"/>
          <w:szCs w:val="21"/>
          <w:highlight w:val="none"/>
          <w:lang w:eastAsia="zh-CN"/>
        </w:rPr>
        <w:t>合同签订后20日历天内完成供货安装调试</w:t>
      </w:r>
      <w:r>
        <w:rPr>
          <w:rFonts w:hint="eastAsia" w:ascii="宋体" w:hAnsi="宋体" w:cs="宋体"/>
          <w:color w:val="auto"/>
          <w:szCs w:val="21"/>
          <w:highlight w:val="none"/>
        </w:rPr>
        <w:t>。</w:t>
      </w:r>
    </w:p>
    <w:p w14:paraId="25919C83">
      <w:pPr>
        <w:spacing w:line="360" w:lineRule="auto"/>
        <w:outlineLvl w:val="1"/>
        <w:rPr>
          <w:rFonts w:hint="eastAsia"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rPr>
        <w:t>三、报价要求</w:t>
      </w:r>
    </w:p>
    <w:p w14:paraId="5E2E11B3">
      <w:pPr>
        <w:spacing w:line="360" w:lineRule="auto"/>
        <w:ind w:firstLine="437"/>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本项目采用总价包干，报价包括为完成本项目而产生的全部费用（除采购需求列明的货物需求外，如投标人所投产品须配套其他必要的货物方可正常使用的，投标人须为本项目配备，费用包含在报价中），采购人后期不再追加任何费用，请投标人谨慎报价。</w:t>
      </w:r>
    </w:p>
    <w:p w14:paraId="007BC3F4">
      <w:pPr>
        <w:spacing w:line="360" w:lineRule="auto"/>
        <w:ind w:left="422" w:hanging="422" w:hangingChars="200"/>
        <w:outlineLvl w:val="1"/>
        <w:rPr>
          <w:rFonts w:hint="eastAsia" w:asciiTheme="majorEastAsia" w:hAnsiTheme="majorEastAsia" w:eastAsiaTheme="majorEastAsia" w:cstheme="majorEastAsia"/>
          <w:color w:val="auto"/>
          <w:szCs w:val="21"/>
          <w:highlight w:val="none"/>
        </w:rPr>
      </w:pPr>
      <w:bookmarkStart w:id="2" w:name="_Toc15293"/>
      <w:bookmarkStart w:id="3" w:name="_Toc14698"/>
      <w:r>
        <w:rPr>
          <w:rFonts w:hint="eastAsia" w:asciiTheme="majorEastAsia" w:hAnsiTheme="majorEastAsia" w:eastAsiaTheme="majorEastAsia" w:cstheme="majorEastAsia"/>
          <w:b/>
          <w:bCs/>
          <w:color w:val="auto"/>
          <w:szCs w:val="21"/>
          <w:highlight w:val="none"/>
        </w:rPr>
        <w:t>四、其他要求</w:t>
      </w:r>
      <w:bookmarkEnd w:id="2"/>
      <w:bookmarkEnd w:id="3"/>
      <w:bookmarkStart w:id="4" w:name="_Toc4579"/>
      <w:bookmarkStart w:id="5" w:name="_Toc15427"/>
      <w:r>
        <w:rPr>
          <w:rFonts w:hint="eastAsia" w:asciiTheme="majorEastAsia" w:hAnsiTheme="majorEastAsia" w:eastAsiaTheme="majorEastAsia" w:cstheme="majorEastAsia"/>
          <w:b/>
          <w:bCs/>
          <w:color w:val="auto"/>
          <w:szCs w:val="21"/>
          <w:highlight w:val="none"/>
        </w:rPr>
        <w:br w:type="textWrapping"/>
      </w:r>
      <w:r>
        <w:rPr>
          <w:rFonts w:hint="eastAsia" w:asciiTheme="majorEastAsia" w:hAnsiTheme="majorEastAsia" w:eastAsiaTheme="majorEastAsia" w:cstheme="majorEastAsia"/>
          <w:color w:val="auto"/>
          <w:szCs w:val="21"/>
          <w:highlight w:val="none"/>
        </w:rPr>
        <w:t>1.</w:t>
      </w:r>
      <w:bookmarkEnd w:id="4"/>
      <w:bookmarkEnd w:id="5"/>
      <w:r>
        <w:rPr>
          <w:rFonts w:hint="eastAsia" w:asciiTheme="majorEastAsia" w:hAnsiTheme="majorEastAsia" w:eastAsiaTheme="majorEastAsia" w:cstheme="majorEastAsia"/>
          <w:color w:val="auto"/>
          <w:szCs w:val="21"/>
          <w:highlight w:val="none"/>
        </w:rPr>
        <w:t>货物验收合格后，中标人应对采购人的相关人员进行免费现场培训。</w:t>
      </w:r>
    </w:p>
    <w:p w14:paraId="271915F3">
      <w:pPr>
        <w:spacing w:line="360" w:lineRule="auto"/>
        <w:ind w:firstLine="420" w:firstLineChars="200"/>
        <w:rPr>
          <w:rFonts w:hint="eastAsia" w:asciiTheme="majorEastAsia" w:hAnsiTheme="majorEastAsia" w:eastAsiaTheme="majorEastAsia" w:cstheme="majorEastAsia"/>
          <w:color w:val="auto"/>
          <w:szCs w:val="21"/>
          <w:highlight w:val="none"/>
        </w:rPr>
      </w:pPr>
      <w:bookmarkStart w:id="6" w:name="_Toc21193"/>
      <w:bookmarkStart w:id="7" w:name="_Toc23557"/>
      <w:r>
        <w:rPr>
          <w:rFonts w:hint="eastAsia" w:asciiTheme="majorEastAsia" w:hAnsiTheme="majorEastAsia" w:eastAsiaTheme="majorEastAsia" w:cstheme="majorEastAsia"/>
          <w:color w:val="auto"/>
          <w:szCs w:val="21"/>
          <w:highlight w:val="none"/>
        </w:rPr>
        <w:t>2.货物质量</w:t>
      </w:r>
      <w:bookmarkEnd w:id="6"/>
      <w:bookmarkEnd w:id="7"/>
    </w:p>
    <w:p w14:paraId="086BC880">
      <w:pPr>
        <w:spacing w:line="360" w:lineRule="auto"/>
        <w:ind w:firstLine="420" w:firstLineChars="200"/>
        <w:rPr>
          <w:rFonts w:hint="eastAsia" w:asciiTheme="majorEastAsia" w:hAnsiTheme="majorEastAsia" w:eastAsiaTheme="majorEastAsia" w:cstheme="majorEastAsia"/>
          <w:color w:val="auto"/>
          <w:szCs w:val="21"/>
          <w:highlight w:val="none"/>
        </w:rPr>
      </w:pPr>
      <w:bookmarkStart w:id="8" w:name="_Toc23093"/>
      <w:bookmarkStart w:id="9" w:name="_Toc7485"/>
      <w:r>
        <w:rPr>
          <w:rFonts w:hint="eastAsia" w:asciiTheme="majorEastAsia" w:hAnsiTheme="majorEastAsia" w:eastAsiaTheme="majorEastAsia" w:cstheme="majorEastAsia"/>
          <w:color w:val="auto"/>
          <w:szCs w:val="21"/>
          <w:highlight w:val="none"/>
        </w:rPr>
        <w:t>（1）货物质量：中标人提供的货物必须是全新、原装、合格正品，完全符合国家规定的质量标准和厂方的标准。货物完好，配件齐全。</w:t>
      </w:r>
    </w:p>
    <w:p w14:paraId="0C82B0E7">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保修及售后服务：依据商品的保修条款及售后服务条款，提供原厂质保，保修期按照国家规定，且不低于所供品牌向用户承诺的质保期限，招标文件另有约定的从其约定。保修期从货物验收合格后算起。在中标人承诺的响应时间内，不能解决问题，中标人无偿提供同型号备用设备供采购人使用，备用设备如超出原标准，其经济责任由中标人自行承担，如未能及时提供，则采购人有权在市场上选购与原标准相匹配的同类产品以替代中标人产品或找第三方予以维保，选购替代产品的采购费、维保费等相关经济损失由中标人承担。（报价时须考虑此项费用）</w:t>
      </w:r>
      <w:r>
        <w:rPr>
          <w:rFonts w:hint="eastAsia" w:asciiTheme="majorEastAsia" w:hAnsiTheme="majorEastAsia" w:eastAsiaTheme="majorEastAsia" w:cstheme="majorEastAsia"/>
          <w:color w:val="auto"/>
          <w:szCs w:val="21"/>
          <w:highlight w:val="none"/>
        </w:rPr>
        <w:br w:type="textWrapping"/>
      </w:r>
      <w:r>
        <w:rPr>
          <w:rFonts w:hint="eastAsia" w:asciiTheme="majorEastAsia" w:hAnsiTheme="majorEastAsia" w:eastAsiaTheme="majorEastAsia" w:cstheme="majorEastAsia"/>
          <w:color w:val="auto"/>
          <w:szCs w:val="21"/>
          <w:highlight w:val="none"/>
          <w:lang w:val="en-US" w:eastAsia="zh-CN"/>
        </w:rPr>
        <w:t xml:space="preserve">    （3）</w:t>
      </w:r>
      <w:r>
        <w:rPr>
          <w:rFonts w:hint="eastAsia" w:asciiTheme="majorEastAsia" w:hAnsiTheme="majorEastAsia" w:eastAsiaTheme="majorEastAsia" w:cstheme="majorEastAsia"/>
          <w:color w:val="auto"/>
          <w:szCs w:val="21"/>
          <w:highlight w:val="none"/>
        </w:rPr>
        <w:t>保修期内，每年免费提供≥4次维护保养；免费负责仪器设备的维修保养以及配套控制软件的更新与维护；维护保养记录须向采购人报备，以使设备始终处于良好的性能状态。</w:t>
      </w:r>
    </w:p>
    <w:p w14:paraId="16BBD159">
      <w:pPr>
        <w:spacing w:line="360" w:lineRule="auto"/>
        <w:ind w:firstLine="420" w:firstLineChars="200"/>
        <w:rPr>
          <w:rFonts w:hint="eastAsia" w:ascii="宋体" w:hAnsi="宋体" w:cs="宋体"/>
          <w:b/>
          <w:color w:val="auto"/>
          <w:szCs w:val="21"/>
          <w:highlight w:val="none"/>
        </w:rPr>
      </w:pP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lang w:val="en-US" w:eastAsia="zh-CN"/>
        </w:rPr>
        <w:t>4</w:t>
      </w: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rPr>
        <w:t>所投标设备如存在数据接口，接口须全部免费开放，与</w:t>
      </w:r>
      <w:r>
        <w:rPr>
          <w:rFonts w:hint="eastAsia" w:asciiTheme="majorEastAsia" w:hAnsiTheme="majorEastAsia" w:eastAsiaTheme="majorEastAsia" w:cstheme="majorEastAsia"/>
          <w:color w:val="auto"/>
          <w:szCs w:val="21"/>
          <w:highlight w:val="none"/>
          <w:lang w:eastAsia="zh-CN"/>
        </w:rPr>
        <w:t>采购人</w:t>
      </w:r>
      <w:r>
        <w:rPr>
          <w:rFonts w:hint="eastAsia" w:asciiTheme="majorEastAsia" w:hAnsiTheme="majorEastAsia" w:eastAsiaTheme="majorEastAsia" w:cstheme="majorEastAsia"/>
          <w:color w:val="auto"/>
          <w:szCs w:val="21"/>
          <w:highlight w:val="none"/>
        </w:rPr>
        <w:t>的信息系统兼容，接口费由中标人承担。</w:t>
      </w:r>
      <w:r>
        <w:rPr>
          <w:rFonts w:hint="eastAsia" w:asciiTheme="majorEastAsia" w:hAnsiTheme="majorEastAsia" w:eastAsiaTheme="majorEastAsia" w:cstheme="majorEastAsia"/>
          <w:color w:val="auto"/>
          <w:szCs w:val="21"/>
          <w:highlight w:val="none"/>
        </w:rPr>
        <w:br w:type="textWrapping"/>
      </w:r>
      <w:r>
        <w:rPr>
          <w:rFonts w:hint="eastAsia" w:asciiTheme="majorEastAsia" w:hAnsiTheme="majorEastAsia" w:eastAsiaTheme="majorEastAsia" w:cstheme="majorEastAsia"/>
          <w:color w:val="auto"/>
          <w:szCs w:val="21"/>
          <w:highlight w:val="none"/>
          <w:lang w:val="en-US" w:eastAsia="zh-CN"/>
        </w:rPr>
        <w:t xml:space="preserve">    </w:t>
      </w:r>
      <w:r>
        <w:rPr>
          <w:rFonts w:hint="eastAsia" w:asciiTheme="majorEastAsia" w:hAnsiTheme="majorEastAsia" w:eastAsiaTheme="majorEastAsia" w:cstheme="majorEastAsia"/>
          <w:color w:val="auto"/>
          <w:szCs w:val="21"/>
          <w:highlight w:val="none"/>
        </w:rPr>
        <w:t>3.</w:t>
      </w:r>
      <w:bookmarkEnd w:id="8"/>
      <w:bookmarkEnd w:id="9"/>
      <w:r>
        <w:rPr>
          <w:rFonts w:hint="eastAsia" w:asciiTheme="majorEastAsia" w:hAnsiTheme="majorEastAsia" w:eastAsiaTheme="majorEastAsia" w:cstheme="majorEastAsia"/>
          <w:color w:val="auto"/>
          <w:szCs w:val="21"/>
          <w:highlight w:val="none"/>
        </w:rPr>
        <w:t>中标人和采购人双方共同实施验收工作，结果和验收报告经双方确认后生效。</w:t>
      </w:r>
      <w:r>
        <w:rPr>
          <w:rFonts w:hint="eastAsia" w:ascii="宋体" w:hAnsi="宋体" w:cs="宋体"/>
          <w:color w:val="auto"/>
          <w:szCs w:val="21"/>
          <w:highlight w:val="none"/>
        </w:rPr>
        <w:br w:type="textWrapping"/>
      </w:r>
      <w:r>
        <w:rPr>
          <w:rFonts w:hint="eastAsia" w:ascii="宋体" w:hAnsi="宋体" w:cs="宋体"/>
          <w:b/>
          <w:color w:val="auto"/>
          <w:szCs w:val="21"/>
          <w:highlight w:val="none"/>
        </w:rPr>
        <w:t>五、付款方式</w:t>
      </w:r>
    </w:p>
    <w:p w14:paraId="2A0B9649">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设备到达采购人现场，安装调试完成最终验收合格，采购人在30日历天内向中标人支付合同总金额的60%。设备正常运行6个月，采购人在30日历天内向中标人支付合同总金额的30%。设备正常运行免费保修期满后，采购人在30日历天内向中标人一次性付清合同总金额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6CD41C"/>
    <w:multiLevelType w:val="singleLevel"/>
    <w:tmpl w:val="416CD41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1553C9"/>
    <w:rsid w:val="22155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rPr>
      <w:rFonts w:eastAsia="楷体_GB2312"/>
    </w:rPr>
  </w:style>
  <w:style w:type="paragraph" w:styleId="3">
    <w:name w:val="Body Text Indent"/>
    <w:basedOn w:val="1"/>
    <w:next w:val="4"/>
    <w:qFormat/>
    <w:uiPriority w:val="0"/>
    <w:pPr>
      <w:ind w:firstLine="645"/>
    </w:pPr>
    <w:rPr>
      <w:sz w:val="20"/>
    </w:rPr>
  </w:style>
  <w:style w:type="paragraph" w:styleId="4">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7">
    <w:name w:val="List Paragraph"/>
    <w:basedOn w:val="1"/>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2025-07-02T07:35:00Z</dcterms:created>
  <dc:creator>好运</dc:creator>
  <cp:lastModifiedBy>好运</cp:lastModifiedBy>
  <dcterms:modified xsi:type="dcterms:W3CDTF">2025-07-02T07:36:03Z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28B52DE65EA141F0A11AA090E82D1827_11</vt:lpwstr>
  </property>
  <property fmtid="{D5CDD505-2E9C-101B-9397-08002B2CF9AE}" pid="4" name="KSOTemplateDocerSaveRecord">
    <vt:lpwstr>eyJoZGlkIjoiNmViOTI1YjMzNzU1MGU0NTliYzYxY2RiZWM1MzEwMGQiLCJ1c2VySWQiOiI0MjM0NDQ1ODIifQ==</vt:lpwstr>
  </property>
</Properties>
</file>