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spacing w:line="480" w:lineRule="exact"/>
        <w:jc w:val="center"/>
        <w:rPr>
          <w:rFonts w:ascii="宋体" w:cs="宋体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货物需求及参数要求</w:t>
      </w:r>
    </w:p>
    <w:p w14:paraId="5C7966E4">
      <w:pPr>
        <w:widowControl/>
        <w:spacing w:line="500" w:lineRule="exact"/>
        <w:ind w:firstLine="422" w:firstLineChars="200"/>
        <w:jc w:val="left"/>
        <w:rPr>
          <w:rFonts w:hint="eastAsia" w:ascii="宋体" w:hAnsi="宋体" w:eastAsia="宋体" w:cs="Times New Roman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采购文件的相关要求。</w:t>
      </w:r>
    </w:p>
    <w:p w14:paraId="19F5CF57">
      <w:pPr>
        <w:widowControl/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货物需求一览表</w:t>
      </w:r>
      <w:bookmarkStart w:id="0" w:name="_Hlk96158360"/>
      <w:bookmarkStart w:id="1" w:name="_Hlk106267351"/>
    </w:p>
    <w:tbl>
      <w:tblPr>
        <w:tblStyle w:val="7"/>
        <w:tblW w:w="9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78"/>
        <w:gridCol w:w="5506"/>
        <w:gridCol w:w="654"/>
        <w:gridCol w:w="1229"/>
        <w:gridCol w:w="698"/>
      </w:tblGrid>
      <w:tr w14:paraId="165A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元/套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6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7342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日常生活能力评估与训练系统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1D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1.软件具有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通讯连接设置模块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系统登录模块、患者信息管理模块、评估模块、测量、训练模块、量表功能以及报告模块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B58D738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系统评估功能包含关节活动度评估、肌力评估、平衡能力评估和标准量表评估功能。</w:t>
            </w:r>
          </w:p>
          <w:p w14:paraId="0390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3.关节活动度评估模块：3D传感器功能，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系统配置无线3D传感器，可以佩戴到身体的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部位，实现关节活动度评估和游戏训练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35B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4.具有电子尺校准功能、手部关节活动范围测量、腕关节活动范围测量、前臂关节活动范围测量、颈部背部关节活动范围测量、下肢关节活动范围测量功能等。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电子角度尺的可测量量程为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～360°</w:t>
            </w:r>
            <w:r>
              <w:rPr>
                <w:rFonts w:hint="eastAsia" w:ascii="宋体" w:hAnsi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（提供截图或第三方检测报告）</w:t>
            </w:r>
          </w:p>
          <w:p w14:paraId="69C4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系统可以与多个力传感器连接，可以实现手部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捏力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握力测试训练。</w:t>
            </w:r>
          </w:p>
          <w:p w14:paraId="7B6B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6.系统具有痛点记录和痛点清零功能，在所有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关节活动度评估和肌力评估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过程中，若患者的肢体活动到某位置时产生疼痛感，可在系统界面点击“痛点记录”，即在当前疼痛位置记录痛点，记录结果会自动生成在评估报告中；若痛点记录错误或患者已无疼痛感，可点击“痛点清零”消除记录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（提供软件截图证明）</w:t>
            </w:r>
          </w:p>
          <w:p w14:paraId="0E9C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7.系统具有阻尼测量和阻尼设置功能，可以评估患者相应转动阻尼等级下，手部旋前和旋后活动范围测量及疼痛点的记录，并自动保存测量报告。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中央阻尼器的阻尼可以1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～10级可调，阻尼器的量程为-180°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～+180°。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（提供截图或第三方检测报告）</w:t>
            </w:r>
          </w:p>
          <w:p w14:paraId="752F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8.系统具有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平衡能力评估功能：</w:t>
            </w:r>
          </w:p>
          <w:p w14:paraId="7E5E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姿态下的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平衡能力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测试评估及训练模式，操作者可以根据患者的具体情况选择不同姿态下的评估或训练，更有针对性，实现精准康复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1907196"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重心稳定性评估、单侧姿态评估、稳定极限评估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模式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。平衡重心稳定测试模式测试患者在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睁眼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闭眼状态下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实时分析反馈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平衡能力及重心的变化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数据直观；</w:t>
            </w:r>
          </w:p>
          <w:p w14:paraId="0855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脚部平衡板可测量量程为0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～150kg，允差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3kg。</w:t>
            </w:r>
          </w:p>
          <w:p w14:paraId="43E8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9.系统具有FIM评定量表、Barthel评定量表、简易精神状态评估量表、社会生活能力评定量表、Brunnstrom等评定量表。</w:t>
            </w:r>
          </w:p>
          <w:p w14:paraId="68951AA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系统具有训练处方功能，可以根据评估数据制定个性化训练方案，训练前，可以一次选好所有要训练的项目，可以对训练难度、训练时长、间隔时长等各种训练参数设置，可以添加和删除、保存和预览处方，训练中途不用再选择训练项目及设置参数，节约治疗师时间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E4198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25万元/套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1C2D74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国产</w:t>
            </w:r>
            <w:bookmarkStart w:id="11" w:name="_GoBack"/>
            <w:bookmarkEnd w:id="11"/>
          </w:p>
        </w:tc>
      </w:tr>
      <w:tr w14:paraId="17CF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6CED">
            <w:pPr>
              <w:widowControl/>
              <w:spacing w:line="360" w:lineRule="auto"/>
              <w:ind w:left="630" w:hanging="630" w:hangingChars="3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说明：</w:t>
            </w:r>
          </w:p>
          <w:p w14:paraId="324609E7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72251CC8">
            <w:pPr>
              <w:widowControl/>
              <w:spacing w:line="360" w:lineRule="auto"/>
              <w:ind w:left="420" w:leftChars="200"/>
              <w:jc w:val="left"/>
              <w:textAlignment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2.免费质保期：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所投软硬件设备设施及配置，均需提供原厂质保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至少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1A9CEB48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.所有技术参数及要求采购人验收时将逐条核对，如发现与实际情况不符、虚假响应等，采购人有权报监管部门并追究违约责任。</w:t>
            </w:r>
          </w:p>
          <w:p w14:paraId="10FAF5BC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.投标人应按照采购文件要求提供证明材料。若投标提供了采购文件未要求的证明材料，评标委员会将不予评审。</w:t>
            </w:r>
          </w:p>
          <w:p w14:paraId="586815BB">
            <w:pPr>
              <w:widowControl/>
              <w:spacing w:line="360" w:lineRule="auto"/>
              <w:ind w:firstLine="420" w:firstLineChars="200"/>
              <w:jc w:val="left"/>
              <w:rPr>
                <w:rFonts w:hint="default" w:eastAsia="宋体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.投标人提供的证明材料须清晰的反映评审内容，如因材料模糊不清，导致评标委员会无法辨认的，评标委员会可以不予认可，一切后果由投标人自行承担。</w:t>
            </w:r>
          </w:p>
        </w:tc>
      </w:tr>
      <w:bookmarkEnd w:id="0"/>
      <w:bookmarkEnd w:id="1"/>
    </w:tbl>
    <w:p w14:paraId="395AD88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0"/>
          <w:highlight w:val="none"/>
          <w:lang w:val="en-US" w:eastAsia="zh-CN" w:bidi="ar-SA"/>
        </w:rPr>
        <w:t>二、配置要求</w:t>
      </w:r>
    </w:p>
    <w:tbl>
      <w:tblPr>
        <w:tblStyle w:val="8"/>
        <w:tblW w:w="7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935"/>
        <w:gridCol w:w="2049"/>
      </w:tblGrid>
      <w:tr w14:paraId="4788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9401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序号</w:t>
            </w:r>
          </w:p>
        </w:tc>
        <w:tc>
          <w:tcPr>
            <w:tcW w:w="3935" w:type="dxa"/>
          </w:tcPr>
          <w:p w14:paraId="19058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2049" w:type="dxa"/>
          </w:tcPr>
          <w:p w14:paraId="3D30A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数量</w:t>
            </w:r>
          </w:p>
        </w:tc>
      </w:tr>
      <w:tr w14:paraId="359B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272A6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</w:t>
            </w:r>
          </w:p>
        </w:tc>
        <w:tc>
          <w:tcPr>
            <w:tcW w:w="3935" w:type="dxa"/>
          </w:tcPr>
          <w:p w14:paraId="092C2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中央阻尼器</w:t>
            </w:r>
          </w:p>
        </w:tc>
        <w:tc>
          <w:tcPr>
            <w:tcW w:w="2049" w:type="dxa"/>
          </w:tcPr>
          <w:p w14:paraId="3AB3A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1台</w:t>
            </w:r>
          </w:p>
        </w:tc>
      </w:tr>
      <w:tr w14:paraId="3E1E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03E8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</w:p>
        </w:tc>
        <w:tc>
          <w:tcPr>
            <w:tcW w:w="3935" w:type="dxa"/>
          </w:tcPr>
          <w:p w14:paraId="190DE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盘型工具</w:t>
            </w:r>
          </w:p>
        </w:tc>
        <w:tc>
          <w:tcPr>
            <w:tcW w:w="2049" w:type="dxa"/>
          </w:tcPr>
          <w:p w14:paraId="05900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1套</w:t>
            </w:r>
          </w:p>
        </w:tc>
      </w:tr>
      <w:tr w14:paraId="0A51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0701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3</w:t>
            </w:r>
          </w:p>
        </w:tc>
        <w:tc>
          <w:tcPr>
            <w:tcW w:w="3935" w:type="dxa"/>
          </w:tcPr>
          <w:p w14:paraId="08D92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杠杆工具</w:t>
            </w:r>
          </w:p>
        </w:tc>
        <w:tc>
          <w:tcPr>
            <w:tcW w:w="2049" w:type="dxa"/>
          </w:tcPr>
          <w:p w14:paraId="0F23A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41DE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744E4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4</w:t>
            </w:r>
          </w:p>
        </w:tc>
        <w:tc>
          <w:tcPr>
            <w:tcW w:w="3935" w:type="dxa"/>
          </w:tcPr>
          <w:p w14:paraId="1A6EF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钥匙工具</w:t>
            </w:r>
          </w:p>
        </w:tc>
        <w:tc>
          <w:tcPr>
            <w:tcW w:w="2049" w:type="dxa"/>
          </w:tcPr>
          <w:p w14:paraId="725F6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345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5935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5</w:t>
            </w:r>
          </w:p>
        </w:tc>
        <w:tc>
          <w:tcPr>
            <w:tcW w:w="3935" w:type="dxa"/>
          </w:tcPr>
          <w:p w14:paraId="63573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圆柱工具</w:t>
            </w:r>
          </w:p>
        </w:tc>
        <w:tc>
          <w:tcPr>
            <w:tcW w:w="2049" w:type="dxa"/>
          </w:tcPr>
          <w:p w14:paraId="7EF7C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303D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21F61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6</w:t>
            </w:r>
          </w:p>
        </w:tc>
        <w:tc>
          <w:tcPr>
            <w:tcW w:w="3935" w:type="dxa"/>
          </w:tcPr>
          <w:p w14:paraId="3CFEB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把手工具</w:t>
            </w:r>
          </w:p>
        </w:tc>
        <w:tc>
          <w:tcPr>
            <w:tcW w:w="2049" w:type="dxa"/>
          </w:tcPr>
          <w:p w14:paraId="41E19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6C85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6B3E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7</w:t>
            </w:r>
          </w:p>
        </w:tc>
        <w:tc>
          <w:tcPr>
            <w:tcW w:w="3935" w:type="dxa"/>
          </w:tcPr>
          <w:p w14:paraId="2CDD0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方向盘工具</w:t>
            </w:r>
          </w:p>
        </w:tc>
        <w:tc>
          <w:tcPr>
            <w:tcW w:w="2049" w:type="dxa"/>
          </w:tcPr>
          <w:p w14:paraId="37894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1DC9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2627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8</w:t>
            </w:r>
          </w:p>
        </w:tc>
        <w:tc>
          <w:tcPr>
            <w:tcW w:w="3935" w:type="dxa"/>
          </w:tcPr>
          <w:p w14:paraId="482AB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握力测试工具</w:t>
            </w:r>
          </w:p>
        </w:tc>
        <w:tc>
          <w:tcPr>
            <w:tcW w:w="2049" w:type="dxa"/>
          </w:tcPr>
          <w:p w14:paraId="783D6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71C3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1B22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9</w:t>
            </w:r>
          </w:p>
        </w:tc>
        <w:tc>
          <w:tcPr>
            <w:tcW w:w="3935" w:type="dxa"/>
          </w:tcPr>
          <w:p w14:paraId="27B22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平衡底座</w:t>
            </w:r>
          </w:p>
        </w:tc>
        <w:tc>
          <w:tcPr>
            <w:tcW w:w="2049" w:type="dxa"/>
          </w:tcPr>
          <w:p w14:paraId="39B0C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  <w:tr w14:paraId="0866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CA37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10</w:t>
            </w:r>
          </w:p>
        </w:tc>
        <w:tc>
          <w:tcPr>
            <w:tcW w:w="3935" w:type="dxa"/>
          </w:tcPr>
          <w:p w14:paraId="2266C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脚部重力板（左）</w:t>
            </w:r>
          </w:p>
        </w:tc>
        <w:tc>
          <w:tcPr>
            <w:tcW w:w="2049" w:type="dxa"/>
          </w:tcPr>
          <w:p w14:paraId="7639E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2块</w:t>
            </w:r>
          </w:p>
        </w:tc>
      </w:tr>
      <w:tr w14:paraId="0219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519B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11</w:t>
            </w:r>
          </w:p>
        </w:tc>
        <w:tc>
          <w:tcPr>
            <w:tcW w:w="3935" w:type="dxa"/>
          </w:tcPr>
          <w:p w14:paraId="4CE9D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关节电子量角器</w:t>
            </w:r>
          </w:p>
        </w:tc>
        <w:tc>
          <w:tcPr>
            <w:tcW w:w="2049" w:type="dxa"/>
          </w:tcPr>
          <w:p w14:paraId="548A4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367C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2859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12</w:t>
            </w:r>
          </w:p>
        </w:tc>
        <w:tc>
          <w:tcPr>
            <w:tcW w:w="3935" w:type="dxa"/>
          </w:tcPr>
          <w:p w14:paraId="1859A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3D传感器套件</w:t>
            </w:r>
          </w:p>
        </w:tc>
        <w:tc>
          <w:tcPr>
            <w:tcW w:w="2049" w:type="dxa"/>
          </w:tcPr>
          <w:p w14:paraId="094BA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  <w:tr w14:paraId="69C0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A92C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13</w:t>
            </w:r>
          </w:p>
        </w:tc>
        <w:tc>
          <w:tcPr>
            <w:tcW w:w="3935" w:type="dxa"/>
          </w:tcPr>
          <w:p w14:paraId="1767F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日常综合能力评估与训练系统软件</w:t>
            </w:r>
          </w:p>
        </w:tc>
        <w:tc>
          <w:tcPr>
            <w:tcW w:w="2049" w:type="dxa"/>
          </w:tcPr>
          <w:p w14:paraId="4528F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</w:tbl>
    <w:p w14:paraId="69D50EB0">
      <w:pPr>
        <w:pStyle w:val="10"/>
        <w:shd w:val="clear" w:color="auto" w:fill="FFFFFF"/>
        <w:spacing w:line="360" w:lineRule="auto"/>
        <w:ind w:firstLine="0" w:firstLineChars="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供货期</w:t>
      </w:r>
    </w:p>
    <w:p w14:paraId="2DA171A5">
      <w:pPr>
        <w:spacing w:line="360" w:lineRule="auto"/>
        <w:ind w:firstLine="420" w:firstLineChars="200"/>
        <w:outlineLvl w:val="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合同签订后20日历天内完成供货安装调试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25919C83">
      <w:pPr>
        <w:spacing w:line="360" w:lineRule="auto"/>
        <w:outlineLvl w:val="1"/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t>、报价要求</w:t>
      </w:r>
    </w:p>
    <w:p w14:paraId="5E2E11B3">
      <w:pPr>
        <w:spacing w:line="360" w:lineRule="auto"/>
        <w:ind w:firstLine="437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本项目采用总价包干，报价包括为完成本项目而产生的全部费用（除采购需求列明的货物需求外，如投标人所投产品须配套其他必要的货物方可正常使用的，投标人须为本项目配备，费用包含在报价中），采购人后期不再追加任何费用，请投标人谨慎报价。</w:t>
      </w:r>
    </w:p>
    <w:p w14:paraId="007BC3F4">
      <w:pPr>
        <w:spacing w:line="360" w:lineRule="auto"/>
        <w:ind w:left="422" w:hanging="422" w:hangingChars="200"/>
        <w:outlineLvl w:val="1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bookmarkStart w:id="2" w:name="_Toc15293"/>
      <w:bookmarkStart w:id="3" w:name="_Toc14698"/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t>、其他要求</w:t>
      </w:r>
      <w:bookmarkEnd w:id="2"/>
      <w:bookmarkEnd w:id="3"/>
      <w:bookmarkStart w:id="4" w:name="_Toc15427"/>
      <w:bookmarkStart w:id="5" w:name="_Toc4579"/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1.</w:t>
      </w:r>
      <w:bookmarkEnd w:id="4"/>
      <w:bookmarkEnd w:id="5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货物验收合格后，中标人应对采购人的相关人员进行免费现场培训。</w:t>
      </w:r>
    </w:p>
    <w:p w14:paraId="086BC880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bookmarkStart w:id="6" w:name="_Toc21193"/>
      <w:bookmarkStart w:id="7" w:name="_Toc23557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2.货物质量</w:t>
      </w:r>
      <w:bookmarkEnd w:id="6"/>
      <w:bookmarkEnd w:id="7"/>
      <w:bookmarkStart w:id="8" w:name="_Toc7485"/>
      <w:bookmarkStart w:id="9" w:name="_Toc23093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中标人提供的货物必须是全新、原装、合格正品，完全符合国家规定的质量标准和厂方的标准。货物完好，配件齐全。</w:t>
      </w:r>
    </w:p>
    <w:p w14:paraId="74EBEAD3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3.售后服务内容</w:t>
      </w:r>
    </w:p>
    <w:p w14:paraId="408D414A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（1）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在质保期内应当为采购人提供以下技术支持和服务：</w:t>
      </w:r>
    </w:p>
    <w:p w14:paraId="223EEB7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①电话咨询</w:t>
      </w:r>
    </w:p>
    <w:p w14:paraId="4423704A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应当为采购人提供7×24小时技术援助电话，解答采购人在使用中遇到的问题，及时为采购人提出解决问题的建议。</w:t>
      </w:r>
    </w:p>
    <w:p w14:paraId="3CA726ED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②现场响应</w:t>
      </w:r>
    </w:p>
    <w:p w14:paraId="7069A2E7">
      <w:pPr>
        <w:spacing w:line="360" w:lineRule="auto"/>
        <w:ind w:firstLine="420" w:firstLineChars="200"/>
        <w:rPr>
          <w:rFonts w:hint="eastAsia" w:eastAsia="宋体" w:asciiTheme="majorEastAsia" w:hAnsi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采购人遇到使用及技术问题，中标人应在 12小时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（含）内到达现场进行处理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，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到达现场后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12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小时内（含）排除故障，确保系统正常工作。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由于处理系统软件或设备故障不及时导致采购人工作无法正常开展，对采购人造成损失的，中标人需赔偿采购人的经济损失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04099E9F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③技术升级</w:t>
      </w:r>
    </w:p>
    <w:p w14:paraId="773C0764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在质保期内，如果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的产品技术升级，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应及时通知采购人，如采购人有相应要求，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应对采购人购买的产品进行免费升级服务。</w:t>
      </w:r>
    </w:p>
    <w:p w14:paraId="1C65A89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（2）质保期外服务要求</w:t>
      </w:r>
    </w:p>
    <w:p w14:paraId="4DEC2B6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①质量保证期过后，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应同样提供免费电话咨询服务，并提供产品上门维护服务。</w:t>
      </w:r>
    </w:p>
    <w:p w14:paraId="46F5AE61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②质量保证期过后，采购人需要继续由原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提供售后服务的，该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应以优惠价格提供售后服务。</w:t>
      </w:r>
    </w:p>
    <w:p w14:paraId="66776786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</w:t>
      </w:r>
      <w:bookmarkStart w:id="10" w:name="_Toc13700"/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保密条款</w:t>
      </w:r>
      <w:bookmarkEnd w:id="10"/>
    </w:p>
    <w:p w14:paraId="2246EFBC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.1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对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中涉及的采购人医院的文件、资料材料负有保密义务，未经采购人书面许可，不得向任何第三方或个人泄漏相关信息，以及用作商业或其他用途，由此而引起的一切法律责任和费用由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应承担。</w:t>
      </w:r>
    </w:p>
    <w:p w14:paraId="48E6261E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.2采购人对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中获知的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商业秘密或其它技术及经营信息均负有保密义务，不得向任何第三或个人方透露或泄露。</w:t>
      </w:r>
    </w:p>
    <w:p w14:paraId="16BBD159"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 xml:space="preserve">    5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.</w:t>
      </w:r>
      <w:bookmarkEnd w:id="8"/>
      <w:bookmarkEnd w:id="9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中标人和采购人双方共同实施验收工作，结果和验收报告经双方确认后生效。</w:t>
      </w:r>
      <w:r>
        <w:rPr>
          <w:rFonts w:hint="eastAsia" w:ascii="宋体" w:hAnsi="宋体" w:cs="宋体"/>
          <w:color w:val="auto"/>
          <w:szCs w:val="21"/>
          <w:highlight w:val="none"/>
        </w:rPr>
        <w:br w:type="textWrapping"/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、付款方式</w:t>
      </w:r>
    </w:p>
    <w:p w14:paraId="7CE9F602">
      <w:pPr>
        <w:spacing w:line="360" w:lineRule="auto"/>
        <w:ind w:firstLine="420" w:firstLineChars="200"/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安装调试完成最终验收合格，采购人在30日历天内向中标人支付合同总金额的60%。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正常运行6个月，采购人在30日历天内向中标人支付合同总金额的30%。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正常运行免费保修期满后，采购人在30日历天内向中标人一次性付清合同总金额10%。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6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7C3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C7C3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CD41C"/>
    <w:multiLevelType w:val="singleLevel"/>
    <w:tmpl w:val="416CD4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84C51"/>
    <w:rsid w:val="1C6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annotation text"/>
    <w:basedOn w:val="1"/>
    <w:qFormat/>
    <w:uiPriority w:val="99"/>
    <w:pPr>
      <w:jc w:val="left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2025-07-02T07:29:00Z</dcterms:created>
  <dc:creator>好运</dc:creator>
  <cp:lastModifiedBy>好运</cp:lastModifiedBy>
  <dcterms:modified xsi:type="dcterms:W3CDTF">2025-07-02T07:30:46Z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B7DEF791B24642EE91FE9EF006B4E3D7_11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