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48F20">
      <w:pPr>
        <w:jc w:val="center"/>
        <w:outlineLvl w:val="0"/>
        <w:rPr>
          <w:rFonts w:ascii="宋体" w:cs="宋体"/>
          <w:b/>
          <w:bCs/>
          <w:snapToGrid w:val="0"/>
          <w:kern w:val="0"/>
          <w:sz w:val="32"/>
          <w:szCs w:val="32"/>
          <w:highlight w:val="none"/>
        </w:rPr>
      </w:pPr>
      <w:bookmarkStart w:id="2" w:name="_GoBack"/>
      <w:bookmarkEnd w:id="2"/>
      <w:r>
        <w:rPr>
          <w:rFonts w:hint="eastAsia" w:ascii="宋体" w:hAnsi="宋体" w:cs="宋体"/>
          <w:b/>
          <w:sz w:val="32"/>
          <w:szCs w:val="32"/>
          <w:highlight w:val="none"/>
          <w:lang w:val="zh-CN"/>
        </w:rPr>
        <w:t>货物需求及参数要求</w:t>
      </w:r>
    </w:p>
    <w:p w14:paraId="64686E20">
      <w:pPr>
        <w:widowControl/>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下列采购需求中标注进口产品的货物均已履行相关论证手续，经核准采购进口产品，但不限制满足采购文件要求的国内产品参与竞争。</w:t>
      </w:r>
    </w:p>
    <w:p w14:paraId="69DC0777">
      <w:pPr>
        <w:widowControl/>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val="en-US" w:eastAsia="zh-CN"/>
        </w:rPr>
        <w:t>投标人中标后在供货范围内按采购人要求的规格、型号供货；投标人中标后须提供与中标耗材配套的相应的配件（应考虑此项费用，采购人不再另行支付）。</w:t>
      </w:r>
    </w:p>
    <w:p w14:paraId="0F03AEA5">
      <w:pPr>
        <w:widowControl/>
        <w:spacing w:line="360" w:lineRule="auto"/>
        <w:jc w:val="left"/>
        <w:rPr>
          <w:b/>
          <w:bCs/>
          <w:highlight w:val="none"/>
        </w:rPr>
      </w:pPr>
      <w:r>
        <w:rPr>
          <w:rFonts w:hint="eastAsia"/>
          <w:b/>
          <w:bCs/>
          <w:highlight w:val="none"/>
        </w:rPr>
        <w:t>一、货物需求一览表</w:t>
      </w:r>
    </w:p>
    <w:tbl>
      <w:tblPr>
        <w:tblStyle w:val="4"/>
        <w:tblW w:w="10233" w:type="dxa"/>
        <w:jc w:val="center"/>
        <w:tblLayout w:type="fixed"/>
        <w:tblCellMar>
          <w:top w:w="0" w:type="dxa"/>
          <w:left w:w="108" w:type="dxa"/>
          <w:bottom w:w="0" w:type="dxa"/>
          <w:right w:w="108" w:type="dxa"/>
        </w:tblCellMar>
      </w:tblPr>
      <w:tblGrid>
        <w:gridCol w:w="586"/>
        <w:gridCol w:w="2445"/>
        <w:gridCol w:w="3329"/>
        <w:gridCol w:w="640"/>
        <w:gridCol w:w="1255"/>
        <w:gridCol w:w="1275"/>
        <w:gridCol w:w="703"/>
      </w:tblGrid>
      <w:tr w14:paraId="1849EA12">
        <w:tblPrEx>
          <w:tblCellMar>
            <w:top w:w="0" w:type="dxa"/>
            <w:left w:w="108" w:type="dxa"/>
            <w:bottom w:w="0" w:type="dxa"/>
            <w:right w:w="108" w:type="dxa"/>
          </w:tblCellMar>
        </w:tblPrEx>
        <w:trPr>
          <w:trHeight w:val="652" w:hRule="atLeast"/>
          <w:jc w:val="center"/>
        </w:trPr>
        <w:tc>
          <w:tcPr>
            <w:tcW w:w="586" w:type="dxa"/>
            <w:tcBorders>
              <w:top w:val="single" w:color="000000" w:sz="4" w:space="0"/>
              <w:left w:val="single" w:color="000000" w:sz="4" w:space="0"/>
              <w:bottom w:val="single" w:color="auto" w:sz="4" w:space="0"/>
              <w:right w:val="single" w:color="000000" w:sz="4" w:space="0"/>
            </w:tcBorders>
            <w:noWrap/>
            <w:vAlign w:val="center"/>
          </w:tcPr>
          <w:p w14:paraId="1B4FB8A0">
            <w:pPr>
              <w:widowControl/>
              <w:jc w:val="center"/>
              <w:textAlignment w:val="center"/>
              <w:rPr>
                <w:rFonts w:hint="eastAsia" w:asciiTheme="minorEastAsia" w:hAnsiTheme="minorEastAsia" w:eastAsiaTheme="minorEastAsia" w:cstheme="minorEastAsia"/>
                <w:b/>
                <w:bCs/>
                <w:szCs w:val="21"/>
                <w:highlight w:val="none"/>
              </w:rPr>
            </w:pPr>
            <w:bookmarkStart w:id="0" w:name="_Hlk96158360"/>
            <w:bookmarkStart w:id="1" w:name="_Hlk106267351"/>
            <w:r>
              <w:rPr>
                <w:rFonts w:hint="eastAsia" w:asciiTheme="minorEastAsia" w:hAnsiTheme="minorEastAsia" w:eastAsiaTheme="minorEastAsia" w:cstheme="minorEastAsia"/>
                <w:b/>
                <w:bCs/>
                <w:kern w:val="0"/>
                <w:szCs w:val="21"/>
                <w:highlight w:val="none"/>
                <w:lang w:bidi="ar"/>
              </w:rPr>
              <w:t>序号</w:t>
            </w:r>
          </w:p>
        </w:tc>
        <w:tc>
          <w:tcPr>
            <w:tcW w:w="2445" w:type="dxa"/>
            <w:tcBorders>
              <w:top w:val="single" w:color="000000" w:sz="4" w:space="0"/>
              <w:left w:val="single" w:color="000000" w:sz="4" w:space="0"/>
              <w:bottom w:val="single" w:color="auto" w:sz="4" w:space="0"/>
              <w:right w:val="single" w:color="000000" w:sz="4" w:space="0"/>
            </w:tcBorders>
            <w:noWrap/>
            <w:vAlign w:val="center"/>
          </w:tcPr>
          <w:p w14:paraId="5C6A8CF1">
            <w:pPr>
              <w:widowControl/>
              <w:jc w:val="center"/>
              <w:textAlignment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kern w:val="0"/>
                <w:szCs w:val="21"/>
                <w:highlight w:val="none"/>
                <w:lang w:bidi="ar"/>
              </w:rPr>
              <w:t>名称</w:t>
            </w:r>
          </w:p>
        </w:tc>
        <w:tc>
          <w:tcPr>
            <w:tcW w:w="3329" w:type="dxa"/>
            <w:tcBorders>
              <w:top w:val="single" w:color="000000" w:sz="4" w:space="0"/>
              <w:left w:val="single" w:color="000000" w:sz="4" w:space="0"/>
              <w:bottom w:val="single" w:color="auto" w:sz="4" w:space="0"/>
              <w:right w:val="single" w:color="000000" w:sz="4" w:space="0"/>
            </w:tcBorders>
            <w:noWrap/>
            <w:vAlign w:val="center"/>
          </w:tcPr>
          <w:p w14:paraId="7EADE9F1">
            <w:pPr>
              <w:widowControl/>
              <w:spacing w:line="360" w:lineRule="auto"/>
              <w:jc w:val="center"/>
              <w:textAlignment w:val="center"/>
              <w:rPr>
                <w:rFonts w:hint="eastAsia" w:asciiTheme="minorEastAsia" w:hAnsiTheme="minorEastAsia" w:eastAsiaTheme="minorEastAsia" w:cstheme="minorEastAsia"/>
                <w:b/>
                <w:bCs/>
                <w:kern w:val="0"/>
                <w:szCs w:val="21"/>
                <w:highlight w:val="none"/>
                <w:lang w:bidi="ar"/>
              </w:rPr>
            </w:pPr>
            <w:r>
              <w:rPr>
                <w:rFonts w:hint="eastAsia" w:asciiTheme="minorEastAsia" w:hAnsiTheme="minorEastAsia" w:eastAsiaTheme="minorEastAsia" w:cstheme="minorEastAsia"/>
                <w:b/>
                <w:bCs/>
                <w:kern w:val="0"/>
                <w:szCs w:val="21"/>
                <w:highlight w:val="none"/>
                <w:lang w:bidi="ar"/>
              </w:rPr>
              <w:t>技术参数</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70F4AE12">
            <w:pPr>
              <w:widowControl/>
              <w:jc w:val="center"/>
              <w:textAlignment w:val="center"/>
              <w:rPr>
                <w:rFonts w:hint="eastAsia" w:asciiTheme="minorEastAsia" w:hAnsiTheme="minorEastAsia" w:eastAsiaTheme="minorEastAsia" w:cstheme="minorEastAsia"/>
                <w:b/>
                <w:bCs/>
                <w:kern w:val="0"/>
                <w:szCs w:val="21"/>
                <w:highlight w:val="none"/>
                <w:lang w:bidi="ar"/>
              </w:rPr>
            </w:pPr>
            <w:r>
              <w:rPr>
                <w:rFonts w:hint="eastAsia" w:asciiTheme="minorEastAsia" w:hAnsiTheme="minorEastAsia" w:eastAsiaTheme="minorEastAsia" w:cstheme="minorEastAsia"/>
                <w:b/>
                <w:bCs/>
                <w:kern w:val="0"/>
                <w:szCs w:val="21"/>
                <w:highlight w:val="none"/>
                <w:lang w:bidi="ar"/>
              </w:rPr>
              <w:t>单位</w:t>
            </w:r>
          </w:p>
        </w:tc>
        <w:tc>
          <w:tcPr>
            <w:tcW w:w="1255" w:type="dxa"/>
            <w:tcBorders>
              <w:top w:val="single" w:color="000000" w:sz="4" w:space="0"/>
              <w:left w:val="single" w:color="000000" w:sz="4" w:space="0"/>
              <w:bottom w:val="single" w:color="000000" w:sz="4" w:space="0"/>
              <w:right w:val="single" w:color="000000" w:sz="4" w:space="0"/>
            </w:tcBorders>
            <w:noWrap/>
            <w:vAlign w:val="center"/>
          </w:tcPr>
          <w:p w14:paraId="75C6DB8D">
            <w:pPr>
              <w:widowControl/>
              <w:jc w:val="center"/>
              <w:textAlignment w:val="center"/>
              <w:rPr>
                <w:rFonts w:hint="eastAsia" w:asciiTheme="minorEastAsia" w:hAnsiTheme="minorEastAsia" w:eastAsiaTheme="minorEastAsia" w:cstheme="minorEastAsia"/>
                <w:b/>
                <w:bCs/>
                <w:kern w:val="0"/>
                <w:szCs w:val="21"/>
                <w:highlight w:val="none"/>
                <w:lang w:bidi="ar"/>
              </w:rPr>
            </w:pPr>
            <w:r>
              <w:rPr>
                <w:rFonts w:hint="eastAsia" w:asciiTheme="minorEastAsia" w:hAnsiTheme="minorEastAsia" w:eastAsiaTheme="minorEastAsia" w:cstheme="minorEastAsia"/>
                <w:b/>
                <w:bCs/>
                <w:kern w:val="0"/>
                <w:szCs w:val="21"/>
                <w:highlight w:val="none"/>
                <w:lang w:bidi="ar"/>
              </w:rPr>
              <w:t>三年预估</w:t>
            </w:r>
          </w:p>
          <w:p w14:paraId="68E1A988">
            <w:pPr>
              <w:widowControl/>
              <w:jc w:val="center"/>
              <w:textAlignment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kern w:val="0"/>
                <w:szCs w:val="21"/>
                <w:highlight w:val="none"/>
                <w:lang w:bidi="ar"/>
              </w:rPr>
              <w:t>使用量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431A33E">
            <w:pPr>
              <w:widowControl/>
              <w:jc w:val="center"/>
              <w:textAlignment w:val="center"/>
              <w:rPr>
                <w:rFonts w:hint="eastAsia" w:asciiTheme="minorEastAsia" w:hAnsiTheme="minorEastAsia" w:eastAsiaTheme="minorEastAsia" w:cstheme="minorEastAsia"/>
                <w:b/>
                <w:bCs/>
                <w:kern w:val="0"/>
                <w:szCs w:val="21"/>
                <w:highlight w:val="none"/>
                <w:lang w:bidi="ar"/>
              </w:rPr>
            </w:pPr>
            <w:r>
              <w:rPr>
                <w:rFonts w:hint="eastAsia" w:asciiTheme="minorEastAsia" w:hAnsiTheme="minorEastAsia" w:eastAsiaTheme="minorEastAsia" w:cstheme="minorEastAsia"/>
                <w:b/>
                <w:bCs/>
                <w:kern w:val="0"/>
                <w:szCs w:val="21"/>
                <w:highlight w:val="none"/>
                <w:lang w:bidi="ar"/>
              </w:rPr>
              <w:t>最高限价</w:t>
            </w:r>
          </w:p>
          <w:p w14:paraId="6F505D62">
            <w:pPr>
              <w:widowControl/>
              <w:jc w:val="center"/>
              <w:textAlignment w:val="center"/>
              <w:rPr>
                <w:rFonts w:hint="eastAsia" w:asciiTheme="minorEastAsia" w:hAnsiTheme="minorEastAsia" w:eastAsiaTheme="minorEastAsia" w:cstheme="minorEastAsia"/>
                <w:b/>
                <w:bCs/>
                <w:kern w:val="0"/>
                <w:szCs w:val="21"/>
                <w:highlight w:val="none"/>
                <w:lang w:bidi="ar"/>
              </w:rPr>
            </w:pPr>
            <w:r>
              <w:rPr>
                <w:rFonts w:hint="eastAsia" w:asciiTheme="minorEastAsia" w:hAnsiTheme="minorEastAsia" w:eastAsiaTheme="minorEastAsia" w:cstheme="minorEastAsia"/>
                <w:b/>
                <w:bCs/>
                <w:kern w:val="0"/>
                <w:szCs w:val="21"/>
                <w:highlight w:val="none"/>
                <w:lang w:bidi="ar"/>
              </w:rPr>
              <w:t>（单价）</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B0EF334">
            <w:pPr>
              <w:widowControl/>
              <w:jc w:val="center"/>
              <w:textAlignment w:val="center"/>
              <w:rPr>
                <w:rFonts w:hint="eastAsia" w:asciiTheme="minorEastAsia" w:hAnsiTheme="minorEastAsia" w:eastAsiaTheme="minorEastAsia" w:cstheme="minorEastAsia"/>
                <w:b/>
                <w:bCs/>
                <w:kern w:val="0"/>
                <w:szCs w:val="21"/>
                <w:highlight w:val="none"/>
                <w:lang w:val="en-US" w:eastAsia="zh-CN" w:bidi="ar"/>
              </w:rPr>
            </w:pPr>
            <w:r>
              <w:rPr>
                <w:rFonts w:hint="eastAsia" w:asciiTheme="minorEastAsia" w:hAnsiTheme="minorEastAsia" w:eastAsiaTheme="minorEastAsia" w:cstheme="minorEastAsia"/>
                <w:b/>
                <w:bCs/>
                <w:kern w:val="0"/>
                <w:szCs w:val="21"/>
                <w:highlight w:val="none"/>
                <w:lang w:val="en-US" w:eastAsia="zh-CN" w:bidi="ar"/>
              </w:rPr>
              <w:t>备注</w:t>
            </w:r>
          </w:p>
        </w:tc>
      </w:tr>
      <w:tr w14:paraId="2B2C0BFF">
        <w:tblPrEx>
          <w:tblCellMar>
            <w:top w:w="0" w:type="dxa"/>
            <w:left w:w="108" w:type="dxa"/>
            <w:bottom w:w="0" w:type="dxa"/>
            <w:right w:w="108" w:type="dxa"/>
          </w:tblCellMar>
        </w:tblPrEx>
        <w:trPr>
          <w:trHeight w:val="90" w:hRule="atLeast"/>
          <w:jc w:val="center"/>
        </w:trPr>
        <w:tc>
          <w:tcPr>
            <w:tcW w:w="586" w:type="dxa"/>
            <w:tcBorders>
              <w:top w:val="single" w:color="auto" w:sz="4" w:space="0"/>
              <w:left w:val="single" w:color="auto" w:sz="4" w:space="0"/>
              <w:bottom w:val="single" w:color="auto" w:sz="4" w:space="0"/>
              <w:right w:val="single" w:color="auto" w:sz="4" w:space="0"/>
            </w:tcBorders>
            <w:noWrap/>
            <w:vAlign w:val="center"/>
          </w:tcPr>
          <w:p w14:paraId="2C301D05">
            <w:pPr>
              <w:widowControl/>
              <w:spacing w:line="36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2445" w:type="dxa"/>
            <w:tcBorders>
              <w:top w:val="single" w:color="auto" w:sz="4" w:space="0"/>
              <w:left w:val="single" w:color="auto" w:sz="4" w:space="0"/>
              <w:bottom w:val="single" w:color="auto" w:sz="4" w:space="0"/>
              <w:right w:val="single" w:color="auto" w:sz="4" w:space="0"/>
            </w:tcBorders>
            <w:noWrap/>
            <w:vAlign w:val="center"/>
          </w:tcPr>
          <w:p w14:paraId="4CD601D6">
            <w:pPr>
              <w:widowControl/>
              <w:spacing w:line="36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血细胞分析仪清洗液CELLCLEAN</w:t>
            </w:r>
          </w:p>
        </w:tc>
        <w:tc>
          <w:tcPr>
            <w:tcW w:w="3329" w:type="dxa"/>
            <w:tcBorders>
              <w:top w:val="single" w:color="auto" w:sz="4" w:space="0"/>
              <w:left w:val="single" w:color="auto" w:sz="4" w:space="0"/>
              <w:bottom w:val="single" w:color="auto" w:sz="4" w:space="0"/>
              <w:right w:val="single" w:color="000000" w:sz="4" w:space="0"/>
            </w:tcBorders>
            <w:noWrap/>
            <w:vAlign w:val="center"/>
          </w:tcPr>
          <w:p w14:paraId="5EAE4E93">
            <w:pPr>
              <w:widowControl/>
              <w:spacing w:line="36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适配希森美康XN系列全自动血球分析仪使用，规格：50ml/瓶</w:t>
            </w:r>
          </w:p>
        </w:tc>
        <w:tc>
          <w:tcPr>
            <w:tcW w:w="640" w:type="dxa"/>
            <w:tcBorders>
              <w:top w:val="single" w:color="000000" w:sz="4" w:space="0"/>
              <w:left w:val="single" w:color="000000" w:sz="4" w:space="0"/>
              <w:bottom w:val="single" w:color="auto" w:sz="4" w:space="0"/>
              <w:right w:val="single" w:color="000000" w:sz="4" w:space="0"/>
            </w:tcBorders>
            <w:noWrap/>
            <w:vAlign w:val="center"/>
          </w:tcPr>
          <w:p w14:paraId="600948FF">
            <w:pPr>
              <w:widowControl/>
              <w:spacing w:line="36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瓶</w:t>
            </w:r>
          </w:p>
        </w:tc>
        <w:tc>
          <w:tcPr>
            <w:tcW w:w="1255" w:type="dxa"/>
            <w:tcBorders>
              <w:top w:val="single" w:color="000000" w:sz="4" w:space="0"/>
              <w:left w:val="single" w:color="000000" w:sz="4" w:space="0"/>
              <w:bottom w:val="single" w:color="auto" w:sz="4" w:space="0"/>
              <w:right w:val="single" w:color="000000" w:sz="4" w:space="0"/>
            </w:tcBorders>
            <w:noWrap/>
            <w:vAlign w:val="center"/>
          </w:tcPr>
          <w:p w14:paraId="5F42588B">
            <w:pPr>
              <w:widowControl/>
              <w:spacing w:line="36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100瓶</w:t>
            </w:r>
          </w:p>
        </w:tc>
        <w:tc>
          <w:tcPr>
            <w:tcW w:w="1275" w:type="dxa"/>
            <w:tcBorders>
              <w:top w:val="single" w:color="000000" w:sz="4" w:space="0"/>
              <w:left w:val="single" w:color="000000" w:sz="4" w:space="0"/>
              <w:bottom w:val="single" w:color="auto" w:sz="4" w:space="0"/>
              <w:right w:val="single" w:color="000000" w:sz="4" w:space="0"/>
            </w:tcBorders>
            <w:noWrap/>
            <w:vAlign w:val="center"/>
          </w:tcPr>
          <w:p w14:paraId="0F4BBAA5">
            <w:pPr>
              <w:widowControl/>
              <w:spacing w:line="36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550元/瓶</w:t>
            </w:r>
          </w:p>
        </w:tc>
        <w:tc>
          <w:tcPr>
            <w:tcW w:w="703" w:type="dxa"/>
            <w:tcBorders>
              <w:top w:val="single" w:color="000000" w:sz="4" w:space="0"/>
              <w:left w:val="single" w:color="000000" w:sz="4" w:space="0"/>
              <w:bottom w:val="single" w:color="auto" w:sz="4" w:space="0"/>
              <w:right w:val="single" w:color="000000" w:sz="4" w:space="0"/>
            </w:tcBorders>
            <w:noWrap/>
            <w:vAlign w:val="center"/>
          </w:tcPr>
          <w:p w14:paraId="1C7C5616">
            <w:pPr>
              <w:widowControl/>
              <w:spacing w:line="360" w:lineRule="auto"/>
              <w:jc w:val="center"/>
              <w:textAlignment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进口</w:t>
            </w:r>
          </w:p>
        </w:tc>
      </w:tr>
      <w:tr w14:paraId="39FB375A">
        <w:tblPrEx>
          <w:tblCellMar>
            <w:top w:w="0" w:type="dxa"/>
            <w:left w:w="108" w:type="dxa"/>
            <w:bottom w:w="0" w:type="dxa"/>
            <w:right w:w="108" w:type="dxa"/>
          </w:tblCellMar>
        </w:tblPrEx>
        <w:trPr>
          <w:trHeight w:val="90" w:hRule="atLeast"/>
          <w:jc w:val="center"/>
        </w:trPr>
        <w:tc>
          <w:tcPr>
            <w:tcW w:w="586" w:type="dxa"/>
            <w:tcBorders>
              <w:top w:val="single" w:color="auto" w:sz="4" w:space="0"/>
              <w:left w:val="single" w:color="auto" w:sz="4" w:space="0"/>
              <w:bottom w:val="single" w:color="auto" w:sz="4" w:space="0"/>
              <w:right w:val="single" w:color="auto" w:sz="4" w:space="0"/>
            </w:tcBorders>
            <w:noWrap/>
            <w:vAlign w:val="center"/>
          </w:tcPr>
          <w:p w14:paraId="2412D7C8">
            <w:pPr>
              <w:widowControl/>
              <w:spacing w:line="360" w:lineRule="auto"/>
              <w:jc w:val="center"/>
              <w:textAlignment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w:t>
            </w:r>
          </w:p>
        </w:tc>
        <w:tc>
          <w:tcPr>
            <w:tcW w:w="2445" w:type="dxa"/>
            <w:tcBorders>
              <w:top w:val="single" w:color="auto" w:sz="4" w:space="0"/>
              <w:left w:val="single" w:color="auto" w:sz="4" w:space="0"/>
              <w:bottom w:val="single" w:color="auto" w:sz="4" w:space="0"/>
              <w:right w:val="single" w:color="auto" w:sz="4" w:space="0"/>
            </w:tcBorders>
            <w:noWrap/>
            <w:vAlign w:val="center"/>
          </w:tcPr>
          <w:p w14:paraId="2F887F01">
            <w:pPr>
              <w:widowControl/>
              <w:spacing w:line="36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CELLCLEAN AUTO清洗液</w:t>
            </w:r>
          </w:p>
        </w:tc>
        <w:tc>
          <w:tcPr>
            <w:tcW w:w="3329" w:type="dxa"/>
            <w:tcBorders>
              <w:top w:val="single" w:color="auto" w:sz="4" w:space="0"/>
              <w:left w:val="single" w:color="auto" w:sz="4" w:space="0"/>
              <w:bottom w:val="single" w:color="auto" w:sz="4" w:space="0"/>
              <w:right w:val="single" w:color="000000" w:sz="4" w:space="0"/>
            </w:tcBorders>
            <w:noWrap/>
            <w:vAlign w:val="center"/>
          </w:tcPr>
          <w:p w14:paraId="696C9A40">
            <w:pPr>
              <w:widowControl/>
              <w:spacing w:line="36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适配希森美康XN系列全自动血球分析仪使用，规格：4*20ml/盒</w:t>
            </w:r>
          </w:p>
        </w:tc>
        <w:tc>
          <w:tcPr>
            <w:tcW w:w="640" w:type="dxa"/>
            <w:tcBorders>
              <w:top w:val="single" w:color="000000" w:sz="4" w:space="0"/>
              <w:left w:val="single" w:color="000000" w:sz="4" w:space="0"/>
              <w:bottom w:val="single" w:color="auto" w:sz="4" w:space="0"/>
              <w:right w:val="single" w:color="000000" w:sz="4" w:space="0"/>
            </w:tcBorders>
            <w:noWrap/>
            <w:vAlign w:val="center"/>
          </w:tcPr>
          <w:p w14:paraId="51A46EAA">
            <w:pPr>
              <w:widowControl/>
              <w:spacing w:line="36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盒</w:t>
            </w:r>
          </w:p>
        </w:tc>
        <w:tc>
          <w:tcPr>
            <w:tcW w:w="1255" w:type="dxa"/>
            <w:tcBorders>
              <w:top w:val="single" w:color="000000" w:sz="4" w:space="0"/>
              <w:left w:val="single" w:color="000000" w:sz="4" w:space="0"/>
              <w:bottom w:val="single" w:color="auto" w:sz="4" w:space="0"/>
              <w:right w:val="single" w:color="000000" w:sz="4" w:space="0"/>
            </w:tcBorders>
            <w:noWrap/>
            <w:vAlign w:val="center"/>
          </w:tcPr>
          <w:p w14:paraId="5559B11A">
            <w:pPr>
              <w:widowControl/>
              <w:spacing w:line="36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4盒</w:t>
            </w:r>
          </w:p>
        </w:tc>
        <w:tc>
          <w:tcPr>
            <w:tcW w:w="1275" w:type="dxa"/>
            <w:tcBorders>
              <w:top w:val="single" w:color="000000" w:sz="4" w:space="0"/>
              <w:left w:val="single" w:color="000000" w:sz="4" w:space="0"/>
              <w:bottom w:val="single" w:color="auto" w:sz="4" w:space="0"/>
              <w:right w:val="single" w:color="000000" w:sz="4" w:space="0"/>
            </w:tcBorders>
            <w:noWrap/>
            <w:vAlign w:val="center"/>
          </w:tcPr>
          <w:p w14:paraId="25FDA7F3">
            <w:pPr>
              <w:widowControl/>
              <w:spacing w:line="36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1500元/盒</w:t>
            </w:r>
          </w:p>
        </w:tc>
        <w:tc>
          <w:tcPr>
            <w:tcW w:w="703" w:type="dxa"/>
            <w:tcBorders>
              <w:top w:val="single" w:color="000000" w:sz="4" w:space="0"/>
              <w:left w:val="single" w:color="000000" w:sz="4" w:space="0"/>
              <w:bottom w:val="single" w:color="auto" w:sz="4" w:space="0"/>
              <w:right w:val="single" w:color="000000" w:sz="4" w:space="0"/>
            </w:tcBorders>
            <w:noWrap/>
            <w:vAlign w:val="center"/>
          </w:tcPr>
          <w:p w14:paraId="65C5D75E">
            <w:pPr>
              <w:widowControl/>
              <w:spacing w:line="360" w:lineRule="auto"/>
              <w:jc w:val="center"/>
              <w:textAlignment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进口</w:t>
            </w:r>
          </w:p>
        </w:tc>
      </w:tr>
      <w:tr w14:paraId="71A2D0EA">
        <w:tblPrEx>
          <w:tblCellMar>
            <w:top w:w="0" w:type="dxa"/>
            <w:left w:w="108" w:type="dxa"/>
            <w:bottom w:w="0" w:type="dxa"/>
            <w:right w:w="108" w:type="dxa"/>
          </w:tblCellMar>
        </w:tblPrEx>
        <w:trPr>
          <w:trHeight w:val="955" w:hRule="atLeast"/>
          <w:jc w:val="center"/>
        </w:trPr>
        <w:tc>
          <w:tcPr>
            <w:tcW w:w="10233" w:type="dxa"/>
            <w:gridSpan w:val="7"/>
            <w:tcBorders>
              <w:top w:val="single" w:color="auto" w:sz="4" w:space="0"/>
              <w:left w:val="single" w:color="000000" w:sz="4" w:space="0"/>
              <w:bottom w:val="single" w:color="000000" w:sz="4" w:space="0"/>
              <w:right w:val="single" w:color="000000" w:sz="4" w:space="0"/>
            </w:tcBorders>
            <w:noWrap/>
            <w:vAlign w:val="center"/>
          </w:tcPr>
          <w:p w14:paraId="67C07EA2">
            <w:pPr>
              <w:widowControl/>
              <w:spacing w:line="360" w:lineRule="auto"/>
              <w:jc w:val="left"/>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说明：</w:t>
            </w:r>
          </w:p>
          <w:p w14:paraId="5EC6ECFC">
            <w:pPr>
              <w:widowControl/>
              <w:spacing w:line="360" w:lineRule="auto"/>
              <w:ind w:firstLine="42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1.投标人的投标文件必须标明所投货物的品牌与参数，保证原厂正品供货。</w:t>
            </w:r>
          </w:p>
          <w:p w14:paraId="107E5B1D">
            <w:pPr>
              <w:widowControl/>
              <w:spacing w:line="360" w:lineRule="auto"/>
              <w:ind w:firstLine="42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2.合同期：三年</w:t>
            </w:r>
            <w:r>
              <w:rPr>
                <w:rFonts w:hint="eastAsia" w:asciiTheme="minorEastAsia" w:hAnsiTheme="minorEastAsia" w:eastAsiaTheme="minorEastAsia" w:cstheme="minorEastAsia"/>
                <w:szCs w:val="21"/>
                <w:highlight w:val="none"/>
                <w:lang w:val="en-US" w:eastAsia="zh-CN"/>
              </w:rPr>
              <w:t>供货期</w:t>
            </w:r>
            <w:r>
              <w:rPr>
                <w:rFonts w:hint="eastAsia" w:asciiTheme="minorEastAsia" w:hAnsiTheme="minorEastAsia" w:eastAsiaTheme="minorEastAsia" w:cstheme="minorEastAsia"/>
                <w:szCs w:val="21"/>
                <w:highlight w:val="none"/>
              </w:rPr>
              <w:t>，预估使用量仅供投标人报价时参考，按实结算。</w:t>
            </w:r>
          </w:p>
          <w:p w14:paraId="5F019080">
            <w:pPr>
              <w:widowControl/>
              <w:spacing w:line="360" w:lineRule="auto"/>
              <w:ind w:firstLine="42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3.本项目一次性规划，分步实施，按实结算。本项目耗材进入我院SPD管理。   </w:t>
            </w:r>
            <w:r>
              <w:rPr>
                <w:rFonts w:hint="eastAsia" w:asciiTheme="minorEastAsia" w:hAnsiTheme="minorEastAsia" w:eastAsiaTheme="minorEastAsia" w:cstheme="minorEastAsia"/>
                <w:szCs w:val="21"/>
                <w:highlight w:val="none"/>
              </w:rPr>
              <w:br w:type="textWrapping"/>
            </w: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rPr>
              <w:t>4.所投产品如有两票制要求则须执行两票制相关要求；所投产品如安徽省医药集中采购中心有相关要求，则须执行安徽省医药集中采购中心相关要求。</w:t>
            </w:r>
          </w:p>
          <w:p w14:paraId="02024DD3">
            <w:pPr>
              <w:widowControl/>
              <w:spacing w:line="360" w:lineRule="auto"/>
              <w:ind w:firstLine="42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w:t>
            </w:r>
            <w:r>
              <w:rPr>
                <w:rFonts w:hint="eastAsia" w:asciiTheme="minorEastAsia" w:hAnsiTheme="minorEastAsia" w:eastAsiaTheme="minorEastAsia" w:cstheme="minorEastAsia"/>
                <w:szCs w:val="21"/>
                <w:highlight w:val="none"/>
                <w:lang w:val="en-US" w:eastAsia="zh-CN"/>
              </w:rPr>
              <w:t>供货</w:t>
            </w:r>
            <w:r>
              <w:rPr>
                <w:rFonts w:hint="eastAsia" w:asciiTheme="minorEastAsia" w:hAnsiTheme="minorEastAsia" w:eastAsiaTheme="minorEastAsia" w:cstheme="minorEastAsia"/>
                <w:szCs w:val="21"/>
                <w:highlight w:val="none"/>
              </w:rPr>
              <w:t>期内如遇国家、省医保带量采购等相关政策调整，需按国家、省医保带量采购等相关政策执行。</w:t>
            </w:r>
          </w:p>
          <w:p w14:paraId="1344BCE3">
            <w:pPr>
              <w:widowControl/>
              <w:spacing w:line="360" w:lineRule="auto"/>
              <w:ind w:firstLine="42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6.中标人供货价格计算方式如下</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最高限价</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单价</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×中标费率=供货价格</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单价</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。如所投产品的安徽省医药集中采购中心平台限价低于该项目供货价格</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单价</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，则按平台限价</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单价</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×中标费率=供货价格</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单价</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。供货价格（单价）结果保留两位小数。</w:t>
            </w:r>
            <w:r>
              <w:rPr>
                <w:rFonts w:hint="eastAsia" w:asciiTheme="minorEastAsia" w:hAnsiTheme="minorEastAsia" w:eastAsiaTheme="minorEastAsia" w:cstheme="minorEastAsia"/>
                <w:szCs w:val="21"/>
                <w:highlight w:val="none"/>
                <w:lang w:val="en-US" w:eastAsia="zh-CN"/>
              </w:rPr>
              <w:br w:type="textWrapping"/>
            </w:r>
            <w:r>
              <w:rPr>
                <w:rFonts w:hint="eastAsia" w:asciiTheme="minorEastAsia" w:hAnsiTheme="minorEastAsia" w:eastAsiaTheme="minorEastAsia" w:cstheme="minorEastAsia"/>
                <w:szCs w:val="21"/>
                <w:highlight w:val="none"/>
                <w:lang w:val="en-US" w:eastAsia="zh-CN"/>
              </w:rPr>
              <w:t xml:space="preserve">    7.最高投标费率：100%。</w:t>
            </w:r>
          </w:p>
        </w:tc>
      </w:tr>
    </w:tbl>
    <w:p w14:paraId="52B5B4C2">
      <w:pPr>
        <w:pStyle w:val="6"/>
        <w:shd w:val="clear" w:color="auto" w:fill="FFFFFF"/>
        <w:spacing w:line="360" w:lineRule="auto"/>
        <w:ind w:firstLine="0" w:firstLineChars="0"/>
        <w:jc w:val="left"/>
        <w:rPr>
          <w:rFonts w:hint="eastAsia" w:ascii="宋体" w:hAnsi="宋体" w:cs="宋体"/>
          <w:b/>
          <w:szCs w:val="21"/>
          <w:highlight w:val="none"/>
        </w:rPr>
      </w:pPr>
      <w:r>
        <w:rPr>
          <w:rFonts w:hint="eastAsia" w:ascii="宋体" w:hAnsi="宋体" w:cs="宋体"/>
          <w:b/>
          <w:szCs w:val="21"/>
          <w:highlight w:val="none"/>
          <w:lang w:eastAsia="zh-CN"/>
        </w:rPr>
        <w:t xml:space="preserve"> </w:t>
      </w:r>
      <w:r>
        <w:rPr>
          <w:rFonts w:hint="eastAsia" w:ascii="宋体" w:hAnsi="宋体" w:cs="宋体"/>
          <w:b/>
          <w:szCs w:val="21"/>
          <w:highlight w:val="none"/>
        </w:rPr>
        <w:t>二、质量要求</w:t>
      </w:r>
    </w:p>
    <w:p w14:paraId="1FE466B9">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14:paraId="18457E6F">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2.保证投标产品的质量，其供货时剩余有效期时间不得少于有效期的2/3。</w:t>
      </w:r>
    </w:p>
    <w:p w14:paraId="3D1016C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3.保证是原产地生产的原装产品，否则视为假冒伪劣</w:t>
      </w:r>
      <w:r>
        <w:rPr>
          <w:rFonts w:ascii="宋体" w:hAnsi="宋体" w:cs="宋体"/>
          <w:szCs w:val="21"/>
          <w:highlight w:val="none"/>
        </w:rPr>
        <w:t>产品。</w:t>
      </w:r>
    </w:p>
    <w:p w14:paraId="2D46C1D0">
      <w:pPr>
        <w:pStyle w:val="6"/>
        <w:numPr>
          <w:ilvl w:val="0"/>
          <w:numId w:val="1"/>
        </w:numPr>
        <w:shd w:val="clear" w:color="auto" w:fill="FFFFFF"/>
        <w:spacing w:line="360" w:lineRule="auto"/>
        <w:ind w:firstLineChars="0"/>
        <w:jc w:val="left"/>
        <w:rPr>
          <w:highlight w:val="none"/>
        </w:rPr>
      </w:pPr>
      <w:r>
        <w:rPr>
          <w:rFonts w:hint="eastAsia" w:ascii="宋体" w:hAnsi="宋体" w:cs="宋体"/>
          <w:b/>
          <w:szCs w:val="21"/>
          <w:highlight w:val="none"/>
        </w:rPr>
        <w:t>供货期</w:t>
      </w:r>
    </w:p>
    <w:p w14:paraId="0E860329">
      <w:pPr>
        <w:pStyle w:val="6"/>
        <w:shd w:val="clear" w:color="auto" w:fill="FFFFFF"/>
        <w:spacing w:line="360" w:lineRule="auto"/>
        <w:jc w:val="left"/>
        <w:rPr>
          <w:rFonts w:eastAsiaTheme="minorEastAsia"/>
          <w:highlight w:val="none"/>
        </w:rPr>
      </w:pPr>
      <w:r>
        <w:rPr>
          <w:rFonts w:hint="eastAsia" w:asciiTheme="minorEastAsia" w:hAnsiTheme="minorEastAsia" w:eastAsiaTheme="minorEastAsia"/>
          <w:szCs w:val="21"/>
          <w:highlight w:val="none"/>
        </w:rPr>
        <w:t>自合同执行之日起三年或采购费用总额达到中标总价时，以先到者为准，在供货期内按照采购人的要求分批供货，据实结算。</w:t>
      </w:r>
    </w:p>
    <w:p w14:paraId="4633F105">
      <w:pPr>
        <w:spacing w:line="360" w:lineRule="auto"/>
        <w:jc w:val="left"/>
        <w:rPr>
          <w:rFonts w:hint="eastAsia" w:ascii="宋体" w:hAnsi="宋体" w:cs="宋体"/>
          <w:szCs w:val="21"/>
          <w:highlight w:val="none"/>
        </w:rPr>
      </w:pPr>
      <w:r>
        <w:rPr>
          <w:rFonts w:hint="eastAsia" w:ascii="宋体" w:hAnsi="宋体" w:cs="宋体"/>
          <w:b/>
          <w:bCs/>
          <w:szCs w:val="21"/>
          <w:highlight w:val="none"/>
        </w:rPr>
        <w:t>四、供货及售后要求</w:t>
      </w:r>
    </w:p>
    <w:p w14:paraId="51B21E56">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1.中标人接到采购人供货通知，根据采购人通知的规格型号和数量按计划送货，按照采购人要求送至指定地点，负责运输。</w:t>
      </w:r>
    </w:p>
    <w:p w14:paraId="3942BB0F">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2.中标人根据采购人采购计划进行供货，不允许超计划供货，超出计划的数量，采购人不予验收入库，由中标人无条件带回。</w:t>
      </w:r>
    </w:p>
    <w:p w14:paraId="500F04EA">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3.中标人所投的品牌货物在供货或使用过程中出现质量和使用问题，采购人有权要求更换，直至采购人满意，且不再另行支付任何费用。</w:t>
      </w:r>
    </w:p>
    <w:p w14:paraId="6B3C765F">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4.按采购人实际需求进行供货，中标人须无条件满足采购人需求，确保供货质量并及时供货。</w:t>
      </w:r>
    </w:p>
    <w:p w14:paraId="099613E6">
      <w:pPr>
        <w:widowControl/>
        <w:spacing w:line="360" w:lineRule="auto"/>
        <w:rPr>
          <w:rFonts w:hint="eastAsia" w:ascii="宋体" w:hAnsi="宋体" w:cs="宋体"/>
          <w:b/>
          <w:szCs w:val="21"/>
          <w:highlight w:val="none"/>
        </w:rPr>
      </w:pPr>
      <w:r>
        <w:rPr>
          <w:rFonts w:hint="eastAsia" w:ascii="宋体" w:hAnsi="宋体" w:cs="宋体"/>
          <w:b/>
          <w:szCs w:val="21"/>
          <w:highlight w:val="none"/>
        </w:rPr>
        <w:t>五、验收</w:t>
      </w:r>
    </w:p>
    <w:p w14:paraId="5D861BEB">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验收时采购人和中标人双方共同实施验收工作，验收合格后，结果和验收报告经双方确认后生效。</w:t>
      </w:r>
      <w:r>
        <w:rPr>
          <w:rFonts w:hint="eastAsia" w:ascii="宋体" w:hAnsi="宋体" w:cs="宋体"/>
          <w:szCs w:val="21"/>
          <w:highlight w:val="none"/>
        </w:rPr>
        <w:br w:type="textWrapping"/>
      </w:r>
      <w:r>
        <w:rPr>
          <w:rFonts w:hint="eastAsia" w:ascii="宋体" w:hAnsi="宋体" w:cs="宋体"/>
          <w:b/>
          <w:szCs w:val="21"/>
          <w:highlight w:val="none"/>
        </w:rPr>
        <w:t>六、付款方式</w:t>
      </w:r>
    </w:p>
    <w:p w14:paraId="5E17AE78">
      <w:pPr>
        <w:spacing w:line="360" w:lineRule="auto"/>
        <w:ind w:firstLine="420" w:firstLineChars="200"/>
      </w:pPr>
      <w:r>
        <w:rPr>
          <w:rFonts w:hint="eastAsia" w:ascii="宋体" w:hAnsi="宋体" w:cs="宋体"/>
          <w:szCs w:val="21"/>
          <w:highlight w:val="none"/>
        </w:rPr>
        <w:t>本项目一次性规划，分步实施，按实结算，货到验收合格、收到正规发票后6个月内付款。</w:t>
      </w:r>
      <w:bookmarkEnd w:id="0"/>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5DDD">
    <w:pPr>
      <w:pStyle w:val="3"/>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CC7C34">
                          <w:pPr>
                            <w:pStyle w:val="3"/>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1ECC7C34">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9232E"/>
    <w:rsid w:val="59392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6">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2025-06-03T09:52:00Z</dcterms:created>
  <dc:creator>好运</dc:creator>
  <cp:lastModifiedBy>好运</cp:lastModifiedBy>
  <dcterms:modified xsi:type="dcterms:W3CDTF">2025-06-03T09:53:41Z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50A5B3A090E440DCAAF2E38875BA9A19_11</vt:lpwstr>
  </property>
  <property fmtid="{D5CDD505-2E9C-101B-9397-08002B2CF9AE}" pid="4" name="KSOTemplateDocerSaveRecord">
    <vt:lpwstr>eyJoZGlkIjoiNmViOTI1YjMzNzU1MGU0NTliYzYxY2RiZWM1MzEwMGQiLCJ1c2VySWQiOiI0MjM0NDQ1ODIifQ==</vt:lpwstr>
  </property>
</Properties>
</file>